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820DB" w:rsidRPr="009820DB" w:rsidRDefault="009820DB" w:rsidP="009820DB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9820DB">
        <w:rPr>
          <w:rFonts w:ascii="Times New Roman" w:hAnsi="Times New Roman" w:cs="Times New Roman"/>
          <w:sz w:val="24"/>
          <w:szCs w:val="24"/>
        </w:rPr>
        <w:t>Приложение 1</w:t>
      </w:r>
    </w:p>
    <w:p w:rsidR="009820DB" w:rsidRPr="009820DB" w:rsidRDefault="009820DB" w:rsidP="009820DB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9820DB">
        <w:rPr>
          <w:rFonts w:ascii="Times New Roman" w:hAnsi="Times New Roman" w:cs="Times New Roman"/>
          <w:sz w:val="24"/>
          <w:szCs w:val="24"/>
        </w:rPr>
        <w:t>к приказу департамента строительства</w:t>
      </w:r>
    </w:p>
    <w:p w:rsidR="009820DB" w:rsidRPr="009820DB" w:rsidRDefault="009820DB" w:rsidP="009820DB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9820DB">
        <w:rPr>
          <w:rFonts w:ascii="Times New Roman" w:hAnsi="Times New Roman" w:cs="Times New Roman"/>
          <w:sz w:val="24"/>
          <w:szCs w:val="24"/>
        </w:rPr>
        <w:t xml:space="preserve">архитектуры и ЖКХ </w:t>
      </w:r>
    </w:p>
    <w:p w:rsidR="009820DB" w:rsidRPr="009820DB" w:rsidRDefault="009820DB" w:rsidP="009820DB">
      <w:pPr>
        <w:spacing w:after="0" w:line="240" w:lineRule="auto"/>
        <w:jc w:val="right"/>
        <w:rPr>
          <w:rFonts w:ascii="Times New Roman" w:hAnsi="Times New Roman" w:cs="Times New Roman"/>
          <w:spacing w:val="-8"/>
          <w:sz w:val="24"/>
          <w:szCs w:val="24"/>
        </w:rPr>
      </w:pPr>
      <w:r w:rsidRPr="00084A11">
        <w:rPr>
          <w:rFonts w:ascii="Times New Roman" w:hAnsi="Times New Roman" w:cs="Times New Roman"/>
          <w:sz w:val="24"/>
          <w:szCs w:val="24"/>
        </w:rPr>
        <w:t xml:space="preserve">от </w:t>
      </w:r>
      <w:r w:rsidR="00084A11" w:rsidRPr="00084A11">
        <w:rPr>
          <w:rFonts w:ascii="Times New Roman" w:hAnsi="Times New Roman" w:cs="Times New Roman"/>
          <w:sz w:val="24"/>
          <w:szCs w:val="24"/>
        </w:rPr>
        <w:t>21</w:t>
      </w:r>
      <w:r w:rsidRPr="00084A11">
        <w:rPr>
          <w:rFonts w:ascii="Times New Roman" w:hAnsi="Times New Roman" w:cs="Times New Roman"/>
          <w:sz w:val="24"/>
          <w:szCs w:val="24"/>
        </w:rPr>
        <w:t>.</w:t>
      </w:r>
      <w:r w:rsidR="00084A11" w:rsidRPr="00084A11">
        <w:rPr>
          <w:rFonts w:ascii="Times New Roman" w:hAnsi="Times New Roman" w:cs="Times New Roman"/>
          <w:sz w:val="24"/>
          <w:szCs w:val="24"/>
        </w:rPr>
        <w:t>04</w:t>
      </w:r>
      <w:r w:rsidRPr="00084A11">
        <w:rPr>
          <w:rFonts w:ascii="Times New Roman" w:hAnsi="Times New Roman" w:cs="Times New Roman"/>
          <w:sz w:val="24"/>
          <w:szCs w:val="24"/>
        </w:rPr>
        <w:t>.2021   №</w:t>
      </w:r>
      <w:r w:rsidR="00084A11" w:rsidRPr="00084A11">
        <w:rPr>
          <w:rFonts w:ascii="Times New Roman" w:hAnsi="Times New Roman" w:cs="Times New Roman"/>
          <w:sz w:val="24"/>
          <w:szCs w:val="24"/>
        </w:rPr>
        <w:t>107</w:t>
      </w:r>
      <w:r w:rsidRPr="00084A11">
        <w:rPr>
          <w:rFonts w:ascii="Times New Roman" w:hAnsi="Times New Roman" w:cs="Times New Roman"/>
          <w:sz w:val="24"/>
          <w:szCs w:val="24"/>
        </w:rPr>
        <w:t>-н</w:t>
      </w:r>
    </w:p>
    <w:p w:rsidR="004E2467" w:rsidRDefault="004E2467" w:rsidP="004E2467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4E2467" w:rsidRDefault="00DF4611" w:rsidP="004E2467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E2467">
        <w:rPr>
          <w:rFonts w:ascii="Times New Roman" w:hAnsi="Times New Roman" w:cs="Times New Roman"/>
          <w:sz w:val="24"/>
          <w:szCs w:val="24"/>
        </w:rPr>
        <w:t>Документация по планировке территории для размещения объекта: «Электростанции на базе газопоршневых генераторных установок для электроснабжения объектов нефтедобычи на приобском месторождении ООО «Газпромнефть-Хантос» Газопровод-отвод от точки врезки в газопровод «ЮП ГПЗ» до ГПЭС ПО Энергоцентра №1»</w:t>
      </w:r>
    </w:p>
    <w:p w:rsidR="00DF4611" w:rsidRDefault="004E2467" w:rsidP="00DF4611">
      <w:pPr>
        <w:jc w:val="center"/>
        <w:rPr>
          <w:rFonts w:ascii="Times New Roman" w:hAnsi="Times New Roman" w:cs="Times New Roman"/>
          <w:sz w:val="24"/>
          <w:szCs w:val="24"/>
        </w:rPr>
      </w:pPr>
      <w:r w:rsidRPr="004E2467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margin">
              <wp:posOffset>-111144</wp:posOffset>
            </wp:positionH>
            <wp:positionV relativeFrom="page">
              <wp:posOffset>2448501</wp:posOffset>
            </wp:positionV>
            <wp:extent cx="6195657" cy="8203994"/>
            <wp:effectExtent l="0" t="0" r="0" b="6985"/>
            <wp:wrapNone/>
            <wp:docPr id="1" name="Рисунок 1" descr="C:\Моя\Работа\Прогресс Паритет\ПРОЕКТ ЭЦ1\растры\Untitl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Моя\Работа\Прогресс Паритет\ПРОЕКТ ЭЦ1\растры\Untitled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01" t="16823" r="5259" b="3939"/>
                    <a:stretch/>
                  </pic:blipFill>
                  <pic:spPr bwMode="auto">
                    <a:xfrm>
                      <a:off x="0" y="0"/>
                      <a:ext cx="6201241" cy="8211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F4611" w:rsidRPr="004E2467">
        <w:rPr>
          <w:rFonts w:ascii="Times New Roman" w:hAnsi="Times New Roman" w:cs="Times New Roman"/>
          <w:sz w:val="24"/>
          <w:szCs w:val="24"/>
        </w:rPr>
        <w:t>Основная часть</w:t>
      </w:r>
    </w:p>
    <w:p w:rsidR="004E2467" w:rsidRDefault="004E2467" w:rsidP="00DF461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E2467" w:rsidRDefault="004E2467" w:rsidP="00DF461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E2467" w:rsidRDefault="004E2467" w:rsidP="00DF461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E2467" w:rsidRDefault="004E2467" w:rsidP="00DF461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E2467" w:rsidRDefault="004E2467" w:rsidP="00DF461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E2467" w:rsidRDefault="004E2467" w:rsidP="00DF461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E2467" w:rsidRDefault="004E2467" w:rsidP="00DF461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E2467" w:rsidRDefault="004E2467" w:rsidP="00DF461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E2467" w:rsidRDefault="004E2467" w:rsidP="00DF461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E2467" w:rsidRDefault="004E2467" w:rsidP="00DF461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E2467" w:rsidRDefault="004E2467" w:rsidP="00DF461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E2467" w:rsidRDefault="004E2467" w:rsidP="00DF461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E2467" w:rsidRDefault="004E2467" w:rsidP="00DF461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E2467" w:rsidRDefault="004E2467" w:rsidP="00DF461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E2467" w:rsidRDefault="004E2467" w:rsidP="00DF461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E2467" w:rsidRDefault="004E2467" w:rsidP="00DF461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E2467" w:rsidRDefault="004E2467" w:rsidP="00DF461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E2467" w:rsidRDefault="004E2467" w:rsidP="00DF461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E2467" w:rsidRDefault="004E2467" w:rsidP="00DF461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E2467" w:rsidRDefault="004E2467" w:rsidP="00DF461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E2467" w:rsidRDefault="004E2467" w:rsidP="00DF461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E2467" w:rsidRDefault="004E2467" w:rsidP="00DF461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E2467" w:rsidRDefault="004E2467" w:rsidP="00DF461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E2467" w:rsidRDefault="004E2467" w:rsidP="00DF461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E2467" w:rsidRDefault="004E2467" w:rsidP="00DF461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E2467" w:rsidRDefault="004E2467" w:rsidP="00DF461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F73EBF" w:rsidRDefault="00F73EBF" w:rsidP="004E2467">
      <w:pPr>
        <w:pStyle w:val="Default"/>
        <w:jc w:val="right"/>
      </w:pPr>
    </w:p>
    <w:p w:rsidR="00F73EBF" w:rsidRDefault="00F73EBF" w:rsidP="004E2467">
      <w:pPr>
        <w:pStyle w:val="Default"/>
        <w:jc w:val="right"/>
      </w:pPr>
    </w:p>
    <w:p w:rsidR="004E2467" w:rsidRDefault="004E2467" w:rsidP="004E2467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F73EBF" w:rsidRDefault="004E2467" w:rsidP="00F73EBF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3EBF">
        <w:rPr>
          <w:rFonts w:ascii="Times New Roman" w:hAnsi="Times New Roman" w:cs="Times New Roman"/>
          <w:b/>
          <w:sz w:val="24"/>
          <w:szCs w:val="24"/>
        </w:rPr>
        <w:t>Положение о размещении линейного объекта</w:t>
      </w:r>
    </w:p>
    <w:p w:rsidR="004E2467" w:rsidRPr="00F73EBF" w:rsidRDefault="004E2467" w:rsidP="004E246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3EBF">
        <w:rPr>
          <w:rFonts w:ascii="Times New Roman" w:hAnsi="Times New Roman" w:cs="Times New Roman"/>
          <w:b/>
          <w:sz w:val="24"/>
          <w:szCs w:val="24"/>
        </w:rPr>
        <w:t>«Электростанции на базе газопоршневых генераторных установок для электроснабжения объектов нефтедобычи на приобском месторождении ООО «Газпромнефть-Хантос» Газопровод-отвод от точки врезки в газопровод «ЮП ГПЗ» до ГПЭС ПО Энергоцентра №1»</w:t>
      </w:r>
    </w:p>
    <w:p w:rsidR="00F73EBF" w:rsidRPr="0008461B" w:rsidRDefault="00F73EBF" w:rsidP="00F73EBF">
      <w:pPr>
        <w:pStyle w:val="1"/>
      </w:pPr>
      <w:bookmarkStart w:id="0" w:name="_Toc445826799"/>
      <w:bookmarkStart w:id="1" w:name="_Toc486846225"/>
      <w:bookmarkStart w:id="2" w:name="_Toc498397329"/>
      <w:bookmarkStart w:id="3" w:name="_Toc504496788"/>
      <w:bookmarkStart w:id="4" w:name="_Toc528678166"/>
      <w:bookmarkStart w:id="5" w:name="_Toc531422132"/>
      <w:bookmarkStart w:id="6" w:name="_Toc531424121"/>
      <w:bookmarkStart w:id="7" w:name="_Toc9070740"/>
      <w:bookmarkStart w:id="8" w:name="_Toc58490201"/>
      <w:bookmarkStart w:id="9" w:name="_Toc66271372"/>
      <w:bookmarkStart w:id="10" w:name="_Toc498395019"/>
      <w:r w:rsidRPr="00AA7804">
        <w:t>1. </w:t>
      </w:r>
      <w:bookmarkEnd w:id="0"/>
      <w:r w:rsidRPr="00AA7804">
        <w:t xml:space="preserve">Наименование, </w:t>
      </w:r>
      <w:r w:rsidRPr="009E3EA5">
        <w:t>основные</w:t>
      </w:r>
      <w:r w:rsidRPr="00AA7804">
        <w:t xml:space="preserve"> характеристики (категория, протяженность, проектная мощность, пропускная способность, грузонапряженность, интенсивность </w:t>
      </w:r>
      <w:r w:rsidRPr="0008461B">
        <w:t>движения) и назначение планируемых для размещения линейных объектов</w:t>
      </w:r>
      <w:bookmarkEnd w:id="1"/>
      <w:bookmarkEnd w:id="2"/>
      <w:r w:rsidRPr="0008461B">
        <w:t>.</w:t>
      </w:r>
      <w:bookmarkEnd w:id="3"/>
      <w:bookmarkEnd w:id="4"/>
      <w:bookmarkEnd w:id="5"/>
      <w:bookmarkEnd w:id="6"/>
      <w:bookmarkEnd w:id="7"/>
      <w:bookmarkEnd w:id="8"/>
      <w:bookmarkEnd w:id="9"/>
      <w:r w:rsidRPr="0008461B">
        <w:t xml:space="preserve"> </w:t>
      </w:r>
    </w:p>
    <w:bookmarkEnd w:id="10"/>
    <w:p w:rsidR="00F73EBF" w:rsidRPr="00F73EBF" w:rsidRDefault="00F73EBF" w:rsidP="00F73EBF">
      <w:pPr>
        <w:pStyle w:val="TableParagraph"/>
        <w:ind w:firstLine="709"/>
        <w:jc w:val="both"/>
        <w:rPr>
          <w:rFonts w:eastAsia="Arial,Italic"/>
          <w:sz w:val="24"/>
          <w:szCs w:val="24"/>
          <w:lang w:val="ru-RU"/>
        </w:rPr>
      </w:pPr>
      <w:r w:rsidRPr="00F73EBF">
        <w:rPr>
          <w:sz w:val="24"/>
          <w:szCs w:val="24"/>
          <w:lang w:val="ru-RU"/>
        </w:rPr>
        <w:t>Документацией по планировке территории предусматривается прокладка магистрального газопровода отвода СОГ (</w:t>
      </w:r>
      <w:r w:rsidRPr="00F73EBF">
        <w:rPr>
          <w:rFonts w:eastAsia="Arial,Italic"/>
          <w:sz w:val="24"/>
          <w:szCs w:val="24"/>
          <w:lang w:val="ru-RU"/>
        </w:rPr>
        <w:t>сухой обензиненный газ)</w:t>
      </w:r>
      <w:r w:rsidRPr="00F73EBF">
        <w:rPr>
          <w:sz w:val="24"/>
          <w:szCs w:val="24"/>
          <w:lang w:val="ru-RU"/>
        </w:rPr>
        <w:t xml:space="preserve"> к площадке ГПЭС №1. </w:t>
      </w:r>
      <w:r w:rsidRPr="00F73EBF">
        <w:rPr>
          <w:rFonts w:eastAsia="Arial,Italic"/>
          <w:sz w:val="24"/>
          <w:szCs w:val="24"/>
          <w:lang w:val="ru-RU"/>
        </w:rPr>
        <w:t xml:space="preserve">Прокладка газопровода-отвода начинается от точки врезки в газопровод «магистральный газопровод на участке «ГПЗ-ЮП КС – КУ № 4-т.вр. в газопровод газоснабжения Ханты-Мансийска </w:t>
      </w:r>
      <w:r w:rsidRPr="00F73EBF">
        <w:rPr>
          <w:rFonts w:eastAsia="Arial,Italic"/>
          <w:sz w:val="24"/>
          <w:szCs w:val="24"/>
        </w:rPr>
        <w:t>D</w:t>
      </w:r>
      <w:r w:rsidRPr="00F73EBF">
        <w:rPr>
          <w:rFonts w:eastAsia="Arial,Italic"/>
          <w:sz w:val="24"/>
          <w:szCs w:val="24"/>
          <w:lang w:val="ru-RU"/>
        </w:rPr>
        <w:t>у 426х9мм» до запорной арматуры на вводе в блок подготовки газа (БПГ СОГ).</w:t>
      </w:r>
    </w:p>
    <w:p w:rsidR="00F73EBF" w:rsidRPr="00F73EBF" w:rsidRDefault="00F73EBF" w:rsidP="00F73EBF">
      <w:pPr>
        <w:pStyle w:val="TableParagraph"/>
        <w:ind w:firstLine="709"/>
        <w:jc w:val="both"/>
        <w:rPr>
          <w:sz w:val="24"/>
          <w:szCs w:val="24"/>
          <w:lang w:val="ru-RU"/>
        </w:rPr>
      </w:pPr>
      <w:r w:rsidRPr="00F73EBF">
        <w:rPr>
          <w:rFonts w:eastAsia="Arial,Italic"/>
          <w:sz w:val="24"/>
          <w:szCs w:val="24"/>
          <w:lang w:val="ru-RU"/>
        </w:rPr>
        <w:t>Целью разработки данного проекта является газоснабжение электростанции на базе газопоршневых генераторных установок для электроснабжения объектов нефтедобычи на Приобском месторождении ООО «Газпромнефть-Хатнос».</w:t>
      </w:r>
    </w:p>
    <w:p w:rsidR="00F73EBF" w:rsidRDefault="00F73EBF" w:rsidP="00F73EBF">
      <w:pPr>
        <w:spacing w:after="0" w:line="240" w:lineRule="auto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F73EBF">
        <w:rPr>
          <w:rFonts w:ascii="Times New Roman" w:eastAsia="Arial,Italic" w:hAnsi="Times New Roman" w:cs="Times New Roman"/>
          <w:sz w:val="24"/>
          <w:szCs w:val="24"/>
        </w:rPr>
        <w:t>Данный газопровод – отвод СОГ расположен на Приобском месторождении ООО «Газпромнефть-Хатнос» («Энергоцентр №1 для электроснабжения объектов нефтедобычи на Приобском месторождении ООО «Газпромнефть-Хантос»), расположенному по адресу: Ханты-Мансийский– Югра автономный округ, 70 км. к востоку от г. Ханты-Мансийск.</w:t>
      </w:r>
    </w:p>
    <w:p w:rsidR="00F73EBF" w:rsidRPr="00F73EBF" w:rsidRDefault="00F73EBF" w:rsidP="00F73EBF">
      <w:pPr>
        <w:spacing w:after="0" w:line="240" w:lineRule="auto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F73EBF">
        <w:rPr>
          <w:rFonts w:ascii="Times New Roman" w:eastAsia="Arial,Italic" w:hAnsi="Times New Roman" w:cs="Times New Roman"/>
          <w:sz w:val="24"/>
          <w:szCs w:val="24"/>
        </w:rPr>
        <w:t>Источником газоснабжения является: «магистральный газопровод на участке «ГПЗ-ЮП КС – КУ №4-т.вр.» Dу 426х9мм».</w:t>
      </w:r>
    </w:p>
    <w:p w:rsidR="00F73EBF" w:rsidRPr="00F73EBF" w:rsidRDefault="00F73EBF" w:rsidP="00F73EBF">
      <w:pPr>
        <w:spacing w:after="0" w:line="240" w:lineRule="auto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F73EBF">
        <w:rPr>
          <w:rFonts w:ascii="Times New Roman" w:eastAsia="Arial,Italic" w:hAnsi="Times New Roman" w:cs="Times New Roman"/>
          <w:sz w:val="24"/>
          <w:szCs w:val="24"/>
        </w:rPr>
        <w:t>Границей проектирования газопровода-отвода является точка подключения к надземному шаровому крану DN80 на вводе в блок подготовки газа БПГ СОГ на территории площадки ГПЭС №1.</w:t>
      </w:r>
    </w:p>
    <w:p w:rsidR="00F73EBF" w:rsidRPr="00F73EBF" w:rsidRDefault="00F73EBF" w:rsidP="00F73EBF">
      <w:pPr>
        <w:spacing w:after="0" w:line="240" w:lineRule="auto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F73EBF">
        <w:rPr>
          <w:rFonts w:ascii="Times New Roman" w:eastAsia="Arial,Italic" w:hAnsi="Times New Roman" w:cs="Times New Roman"/>
          <w:sz w:val="24"/>
          <w:szCs w:val="24"/>
        </w:rPr>
        <w:t>Транспортируемая среда –сухой отбензиненный газ.</w:t>
      </w:r>
    </w:p>
    <w:p w:rsidR="00F73EBF" w:rsidRPr="00F73EBF" w:rsidRDefault="00F73EBF" w:rsidP="00F73EBF">
      <w:pPr>
        <w:spacing w:after="0" w:line="240" w:lineRule="auto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F73EBF">
        <w:rPr>
          <w:rFonts w:ascii="Times New Roman" w:eastAsia="Arial,Italic" w:hAnsi="Times New Roman" w:cs="Times New Roman"/>
          <w:sz w:val="24"/>
          <w:szCs w:val="24"/>
        </w:rPr>
        <w:t>Протяженность трассы проектируемого газопровода отвода по пикетам составляет 136,12 м. Диаметр - 89х6 мм. Максимальное давление 7,5 МПа.</w:t>
      </w:r>
    </w:p>
    <w:p w:rsidR="00F73EBF" w:rsidRPr="00F73EBF" w:rsidRDefault="00F73EBF" w:rsidP="00F73EBF">
      <w:pPr>
        <w:spacing w:after="0" w:line="240" w:lineRule="auto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F73EBF">
        <w:rPr>
          <w:rFonts w:ascii="Times New Roman" w:eastAsia="Arial,Italic" w:hAnsi="Times New Roman" w:cs="Times New Roman"/>
          <w:sz w:val="24"/>
          <w:szCs w:val="24"/>
        </w:rPr>
        <w:t>Пропускная способность обеспечивает транспортировку газа 3784,64 м3/ч.</w:t>
      </w:r>
    </w:p>
    <w:p w:rsidR="00F73EBF" w:rsidRPr="00F73EBF" w:rsidRDefault="00F73EBF" w:rsidP="00F73EBF">
      <w:pPr>
        <w:spacing w:after="0" w:line="240" w:lineRule="auto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F73EBF">
        <w:rPr>
          <w:rFonts w:ascii="Times New Roman" w:eastAsia="Arial,Italic" w:hAnsi="Times New Roman" w:cs="Times New Roman"/>
          <w:sz w:val="24"/>
          <w:szCs w:val="24"/>
        </w:rPr>
        <w:t>На трассе газопровода отвода предусмотрено устройство одного кранового узла № 3.1, согласно СП 36.13330.2012 «Магистральные трубопроводы. Актуализированная редакция СНиП 2.05.06-85* (с Изменениями N 1, 2)» п. 8.2.1. Крановый узел №3.1 после врезки в газопровод «магистральный газопровод на участке «ГПЗ-ЮП КС – КУ №4-т.вр. в газопровод газоснабжения Ханты-Мансийска» Dу 426х9мм» DN 80 мм, Рр 16 МПа (в составе кран шаровой с электроприводом, система продувочных трубопроводов). В проекте предусмотрено установка на крановом узле запорной арматуры с электроприводом.</w:t>
      </w:r>
    </w:p>
    <w:p w:rsidR="00F73EBF" w:rsidRPr="00F73EBF" w:rsidRDefault="00F73EBF" w:rsidP="00F73EBF">
      <w:pPr>
        <w:spacing w:after="0" w:line="240" w:lineRule="auto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F73EBF">
        <w:rPr>
          <w:rFonts w:ascii="Times New Roman" w:eastAsia="Arial,Italic" w:hAnsi="Times New Roman" w:cs="Times New Roman"/>
          <w:sz w:val="24"/>
          <w:szCs w:val="24"/>
        </w:rPr>
        <w:t>На трубопроводах до и после запорной арматуры предусматривается контроль давления. Непосредственный контроль и управление работой проектируемых площадок производится оператором с автоматизированного рабочего места из диспетчерского пункта.</w:t>
      </w:r>
    </w:p>
    <w:p w:rsidR="00F73EBF" w:rsidRPr="00F73EBF" w:rsidRDefault="00F73EBF" w:rsidP="00F73EBF">
      <w:pPr>
        <w:spacing w:after="0" w:line="240" w:lineRule="auto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F73EBF">
        <w:rPr>
          <w:rFonts w:ascii="Times New Roman" w:eastAsia="Arial,Italic" w:hAnsi="Times New Roman" w:cs="Times New Roman"/>
          <w:sz w:val="24"/>
          <w:szCs w:val="24"/>
        </w:rPr>
        <w:t>Для газопровода-отвода предусмотрена согласно п. 2.3.3 Специальных технических условий - автоматизированная система отключения аварийных участков трубопровода и запорной арматуры в случае утечки.</w:t>
      </w:r>
    </w:p>
    <w:p w:rsidR="00F73EBF" w:rsidRPr="00F73EBF" w:rsidRDefault="00F73EBF" w:rsidP="00F73EBF">
      <w:pPr>
        <w:spacing w:after="0" w:line="240" w:lineRule="auto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F73EBF">
        <w:rPr>
          <w:rFonts w:ascii="Times New Roman" w:eastAsia="Arial,Italic" w:hAnsi="Times New Roman" w:cs="Times New Roman"/>
          <w:sz w:val="24"/>
          <w:szCs w:val="24"/>
        </w:rPr>
        <w:t>На продувочные свечи устанавливается оголовок заводского изготовления с самооткидывающейся захлопкой согласно п. 6.5.7 СТО Газпром 2-3.5-051-2006.</w:t>
      </w:r>
    </w:p>
    <w:p w:rsidR="00F73EBF" w:rsidRPr="00F73EBF" w:rsidRDefault="00F73EBF" w:rsidP="00F73EBF">
      <w:pPr>
        <w:spacing w:after="0" w:line="240" w:lineRule="auto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F73EBF">
        <w:rPr>
          <w:rFonts w:ascii="Times New Roman" w:eastAsia="Arial,Italic" w:hAnsi="Times New Roman" w:cs="Times New Roman"/>
          <w:sz w:val="24"/>
          <w:szCs w:val="24"/>
        </w:rPr>
        <w:t xml:space="preserve">Расстояние от запорной арматуры на газопроводе-отводе до продувочного газопровода составляет не менее 15 м. </w:t>
      </w:r>
    </w:p>
    <w:p w:rsidR="00F73EBF" w:rsidRPr="00F73EBF" w:rsidRDefault="00F73EBF" w:rsidP="00F73EBF">
      <w:pPr>
        <w:spacing w:after="0" w:line="240" w:lineRule="auto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F73EBF">
        <w:rPr>
          <w:rFonts w:ascii="Times New Roman" w:eastAsia="Arial,Italic" w:hAnsi="Times New Roman" w:cs="Times New Roman"/>
          <w:sz w:val="24"/>
          <w:szCs w:val="24"/>
        </w:rPr>
        <w:lastRenderedPageBreak/>
        <w:t xml:space="preserve">Проектируемый газопровод отвод СОГ проложен надземно на свайных опорах. Высота прокладки надземного трубопровода принята не менее 1,5 м от поверхности земли до низа теплоизоляции трубопровода. Компенсации продольных деформаций трубопровода предусмотрена за счет поворотов трассы газопровода. </w:t>
      </w:r>
    </w:p>
    <w:p w:rsidR="00F73EBF" w:rsidRPr="00F73EBF" w:rsidRDefault="00F73EBF" w:rsidP="00F73EBF">
      <w:pPr>
        <w:spacing w:after="0" w:line="240" w:lineRule="auto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F73EBF">
        <w:rPr>
          <w:rFonts w:ascii="Times New Roman" w:eastAsia="Arial,Italic" w:hAnsi="Times New Roman" w:cs="Times New Roman"/>
          <w:sz w:val="24"/>
          <w:szCs w:val="24"/>
        </w:rPr>
        <w:t xml:space="preserve">Между компенсационными участками устанавливаются неподвижные опоры, а между неподвижными опорами устанавливаются подвижные опоры. Для фиксации положения трубопровода в проекте предусмотрено применение корпусных хомутовых опор по ТУ 1468-024-96950580-2012 из стали 09Г2С. Расстояние между подвижными опорами не более 4,0 м. </w:t>
      </w:r>
    </w:p>
    <w:p w:rsidR="00F73EBF" w:rsidRPr="00F73EBF" w:rsidRDefault="00F73EBF" w:rsidP="00F73EBF">
      <w:pPr>
        <w:spacing w:after="0" w:line="240" w:lineRule="auto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F73EBF">
        <w:rPr>
          <w:rFonts w:ascii="Times New Roman" w:eastAsia="Arial,Italic" w:hAnsi="Times New Roman" w:cs="Times New Roman"/>
          <w:sz w:val="24"/>
          <w:szCs w:val="24"/>
        </w:rPr>
        <w:t>Прокладка трубопровода предусмотрена в теплоизоляции с электрообогревом. Надземные участки трубопроводов теплоизолируются матами минераловатными марки «ТЕХ МАТ» толщиной 80 мм по ТУ 5762-050-45757203-15. Для защиты тепловой изоляции от атмосферных осадков и механических повреждений применяется сталь тонколистовая, оцинкованная, толщиной 0,5 мм по ГОСТ 14918-80. На покровный слой теплоизоляции наносится опознавательная окраска в соответствии с ГОСТ 14202-69.</w:t>
      </w:r>
    </w:p>
    <w:p w:rsidR="00F73EBF" w:rsidRPr="00F73EBF" w:rsidRDefault="00F73EBF" w:rsidP="00F73EBF">
      <w:pPr>
        <w:spacing w:after="0" w:line="240" w:lineRule="auto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F73EBF">
        <w:rPr>
          <w:rFonts w:ascii="Times New Roman" w:eastAsia="Arial,Italic" w:hAnsi="Times New Roman" w:cs="Times New Roman"/>
          <w:sz w:val="24"/>
          <w:szCs w:val="24"/>
        </w:rPr>
        <w:t>Для прокладки газопровода-отвода приняты трубы O89х6-К52-13ХФА ТУ 1317-233-00147016-02 ударная вязкость КСU = 29,4Дж/см2 с температурой испытания КСU минус 60°С ударная вязкость КСV =29,4 Дж/см2 с температурой испытания КСV минус 56°С.</w:t>
      </w:r>
    </w:p>
    <w:p w:rsidR="00F73EBF" w:rsidRDefault="00F73EBF" w:rsidP="00F73EBF">
      <w:pPr>
        <w:spacing w:after="0" w:line="240" w:lineRule="auto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F73EBF">
        <w:rPr>
          <w:rFonts w:ascii="Times New Roman" w:eastAsia="Arial,Italic" w:hAnsi="Times New Roman" w:cs="Times New Roman"/>
          <w:sz w:val="24"/>
          <w:szCs w:val="24"/>
        </w:rPr>
        <w:t>Район прохождения трасс трубопровода отличается сложными инженерно-геологическими условиями (пучение грунтов). С учетом данных изысканий, в целях снижения отрицательного воздействия на окружающую среду, участок газопровода трассы в районе кранового узла №3.1 проложен на глубине 1,2 м.</w:t>
      </w:r>
    </w:p>
    <w:p w:rsidR="00F73EBF" w:rsidRPr="00AA7804" w:rsidRDefault="00F73EBF" w:rsidP="00F73EBF">
      <w:pPr>
        <w:spacing w:after="0" w:line="240" w:lineRule="auto"/>
        <w:ind w:firstLine="709"/>
        <w:jc w:val="both"/>
        <w:rPr>
          <w:color w:val="0070C0"/>
        </w:rPr>
      </w:pPr>
    </w:p>
    <w:p w:rsidR="00F73EBF" w:rsidRPr="00642964" w:rsidRDefault="00F73EBF" w:rsidP="00F73EBF">
      <w:pPr>
        <w:pStyle w:val="ab"/>
      </w:pPr>
      <w:bookmarkStart w:id="11" w:name="_Toc486846226"/>
      <w:bookmarkStart w:id="12" w:name="_Toc498397330"/>
      <w:bookmarkStart w:id="13" w:name="_Toc531422133"/>
      <w:bookmarkStart w:id="14" w:name="_Toc531424122"/>
      <w:bookmarkStart w:id="15" w:name="_Toc9070741"/>
      <w:bookmarkStart w:id="16" w:name="_Toc58490202"/>
      <w:bookmarkStart w:id="17" w:name="_Toc504496789"/>
      <w:bookmarkStart w:id="18" w:name="_Toc528678167"/>
      <w:r w:rsidRPr="00642964">
        <w:t>2. </w:t>
      </w:r>
      <w:bookmarkEnd w:id="11"/>
      <w:bookmarkEnd w:id="12"/>
      <w:r w:rsidRPr="00642964">
        <w:t>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населенных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объектов.</w:t>
      </w:r>
      <w:bookmarkEnd w:id="13"/>
      <w:bookmarkEnd w:id="14"/>
      <w:bookmarkEnd w:id="15"/>
      <w:bookmarkEnd w:id="16"/>
    </w:p>
    <w:bookmarkEnd w:id="17"/>
    <w:bookmarkEnd w:id="18"/>
    <w:p w:rsidR="00F73EBF" w:rsidRDefault="00F73EBF" w:rsidP="00F73EBF">
      <w:pPr>
        <w:spacing w:after="0"/>
        <w:ind w:firstLine="709"/>
        <w:rPr>
          <w:rFonts w:ascii="Times New Roman" w:hAnsi="Times New Roman" w:cs="Times New Roman"/>
          <w:sz w:val="24"/>
        </w:rPr>
      </w:pPr>
    </w:p>
    <w:p w:rsidR="00F73EBF" w:rsidRPr="00F73EBF" w:rsidRDefault="00F73EBF" w:rsidP="00F73EBF">
      <w:pPr>
        <w:spacing w:after="0"/>
        <w:ind w:firstLine="709"/>
        <w:jc w:val="both"/>
        <w:rPr>
          <w:rFonts w:ascii="Times New Roman" w:hAnsi="Times New Roman" w:cs="Times New Roman"/>
          <w:sz w:val="24"/>
        </w:rPr>
      </w:pPr>
      <w:r w:rsidRPr="00F73EBF">
        <w:rPr>
          <w:rFonts w:ascii="Times New Roman" w:hAnsi="Times New Roman" w:cs="Times New Roman"/>
          <w:sz w:val="24"/>
        </w:rPr>
        <w:t>Зона планируемого размещения линейных объектов устанавливается на межселенной территории Ханты-Мансийского района Тюменской области.</w:t>
      </w:r>
    </w:p>
    <w:p w:rsidR="00F73EBF" w:rsidRDefault="00F73EBF" w:rsidP="00F73EBF">
      <w:pPr>
        <w:pStyle w:val="1"/>
      </w:pPr>
      <w:bookmarkStart w:id="19" w:name="_Toc504496790"/>
      <w:bookmarkStart w:id="20" w:name="_Toc528678168"/>
      <w:bookmarkStart w:id="21" w:name="_Toc531422134"/>
      <w:bookmarkStart w:id="22" w:name="_Toc531424123"/>
      <w:bookmarkStart w:id="23" w:name="_Toc9070742"/>
      <w:bookmarkStart w:id="24" w:name="_Toc58490203"/>
      <w:bookmarkStart w:id="25" w:name="_Toc66271373"/>
      <w:r w:rsidRPr="004D174E">
        <w:t>3. Перечень координат характерных точек границ зон планируемого размещения линейного объекта.</w:t>
      </w:r>
      <w:bookmarkEnd w:id="19"/>
      <w:bookmarkEnd w:id="20"/>
      <w:bookmarkEnd w:id="21"/>
      <w:bookmarkEnd w:id="22"/>
      <w:bookmarkEnd w:id="23"/>
      <w:bookmarkEnd w:id="24"/>
      <w:bookmarkEnd w:id="25"/>
    </w:p>
    <w:p w:rsidR="00F73EBF" w:rsidRPr="00F73EBF" w:rsidRDefault="00F73EBF" w:rsidP="00F73EB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bookmarkStart w:id="26" w:name="_Toc515464897"/>
      <w:r w:rsidRPr="00F73EBF">
        <w:rPr>
          <w:rFonts w:ascii="Times New Roman" w:hAnsi="Times New Roman" w:cs="Times New Roman"/>
          <w:color w:val="2D2D2D"/>
          <w:spacing w:val="2"/>
          <w:sz w:val="24"/>
          <w:szCs w:val="24"/>
          <w:shd w:val="clear" w:color="auto" w:fill="FFFFFF"/>
        </w:rPr>
        <w:t>Перечень координат характерных точек границ зон планируемого размещения линейных объектов</w:t>
      </w:r>
      <w:r w:rsidRPr="00F73EBF">
        <w:rPr>
          <w:rFonts w:ascii="Times New Roman" w:hAnsi="Times New Roman" w:cs="Times New Roman"/>
          <w:sz w:val="24"/>
          <w:szCs w:val="24"/>
        </w:rPr>
        <w:t>.</w:t>
      </w:r>
    </w:p>
    <w:p w:rsidR="00F73EBF" w:rsidRPr="00F73EBF" w:rsidRDefault="00F73EBF" w:rsidP="00F73EB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73EBF">
        <w:rPr>
          <w:rFonts w:ascii="Times New Roman" w:hAnsi="Times New Roman" w:cs="Times New Roman"/>
          <w:sz w:val="24"/>
          <w:szCs w:val="24"/>
        </w:rPr>
        <w:t>(Система координат МСК 86)</w:t>
      </w:r>
    </w:p>
    <w:p w:rsidR="00F73EBF" w:rsidRPr="00F73EBF" w:rsidRDefault="00F73EBF" w:rsidP="00F73EBF">
      <w:pPr>
        <w:jc w:val="right"/>
        <w:rPr>
          <w:rFonts w:ascii="Times New Roman" w:hAnsi="Times New Roman" w:cs="Times New Roman"/>
          <w:sz w:val="24"/>
          <w:szCs w:val="24"/>
        </w:rPr>
      </w:pPr>
      <w:r w:rsidRPr="00F73EBF">
        <w:rPr>
          <w:rFonts w:ascii="Times New Roman" w:hAnsi="Times New Roman" w:cs="Times New Roman"/>
          <w:sz w:val="24"/>
          <w:szCs w:val="24"/>
        </w:rPr>
        <w:t>Таблица № 3.1</w:t>
      </w:r>
      <w:bookmarkEnd w:id="26"/>
    </w:p>
    <w:p w:rsidR="00F73EBF" w:rsidRPr="00F73EBF" w:rsidRDefault="00F73EBF" w:rsidP="00F73EBF">
      <w:pPr>
        <w:rPr>
          <w:rFonts w:ascii="Times New Roman" w:hAnsi="Times New Roman" w:cs="Times New Roman"/>
          <w:sz w:val="24"/>
          <w:szCs w:val="24"/>
        </w:rPr>
        <w:sectPr w:rsidR="00F73EBF" w:rsidRPr="00F73EBF" w:rsidSect="00F73EBF">
          <w:footerReference w:type="default" r:id="rId8"/>
          <w:pgSz w:w="11906" w:h="16838"/>
          <w:pgMar w:top="720" w:right="850" w:bottom="851" w:left="1701" w:header="340" w:footer="708" w:gutter="0"/>
          <w:cols w:space="708"/>
          <w:titlePg/>
          <w:docGrid w:linePitch="360"/>
        </w:sect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204"/>
        <w:gridCol w:w="1503"/>
        <w:gridCol w:w="1606"/>
      </w:tblGrid>
      <w:tr w:rsidR="00F73EBF" w:rsidRPr="00F73EBF" w:rsidTr="00270928">
        <w:tc>
          <w:tcPr>
            <w:tcW w:w="3115" w:type="dxa"/>
            <w:vMerge w:val="restart"/>
          </w:tcPr>
          <w:p w:rsidR="00F73EBF" w:rsidRPr="00F73EBF" w:rsidRDefault="00F73EBF" w:rsidP="00270928">
            <w:pPr>
              <w:rPr>
                <w:sz w:val="24"/>
                <w:szCs w:val="24"/>
              </w:rPr>
            </w:pPr>
            <w:r w:rsidRPr="00F73EBF">
              <w:rPr>
                <w:sz w:val="24"/>
                <w:szCs w:val="24"/>
              </w:rPr>
              <w:lastRenderedPageBreak/>
              <w:t>Номер точки</w:t>
            </w:r>
          </w:p>
        </w:tc>
        <w:tc>
          <w:tcPr>
            <w:tcW w:w="6230" w:type="dxa"/>
            <w:gridSpan w:val="2"/>
            <w:vAlign w:val="center"/>
          </w:tcPr>
          <w:p w:rsidR="00F73EBF" w:rsidRPr="00F73EBF" w:rsidRDefault="00F73EBF" w:rsidP="00270928">
            <w:pPr>
              <w:ind w:left="-142"/>
              <w:jc w:val="center"/>
              <w:rPr>
                <w:sz w:val="24"/>
                <w:szCs w:val="24"/>
              </w:rPr>
            </w:pPr>
            <w:r w:rsidRPr="00F73EBF">
              <w:rPr>
                <w:sz w:val="24"/>
                <w:szCs w:val="24"/>
              </w:rPr>
              <w:t>Координаты</w:t>
            </w:r>
          </w:p>
        </w:tc>
      </w:tr>
      <w:tr w:rsidR="00F73EBF" w:rsidRPr="00F73EBF" w:rsidTr="00270928">
        <w:tc>
          <w:tcPr>
            <w:tcW w:w="3115" w:type="dxa"/>
            <w:vMerge/>
          </w:tcPr>
          <w:p w:rsidR="00F73EBF" w:rsidRPr="00F73EBF" w:rsidRDefault="00F73EBF" w:rsidP="00270928">
            <w:pPr>
              <w:jc w:val="right"/>
              <w:rPr>
                <w:sz w:val="24"/>
                <w:szCs w:val="24"/>
              </w:rPr>
            </w:pPr>
          </w:p>
        </w:tc>
        <w:tc>
          <w:tcPr>
            <w:tcW w:w="3115" w:type="dxa"/>
            <w:vAlign w:val="center"/>
          </w:tcPr>
          <w:p w:rsidR="00F73EBF" w:rsidRPr="00F73EBF" w:rsidRDefault="00F73EBF" w:rsidP="00270928">
            <w:pPr>
              <w:ind w:left="-142"/>
              <w:jc w:val="center"/>
              <w:rPr>
                <w:sz w:val="24"/>
                <w:szCs w:val="24"/>
              </w:rPr>
            </w:pPr>
            <w:r w:rsidRPr="00F73EBF">
              <w:rPr>
                <w:sz w:val="24"/>
                <w:szCs w:val="24"/>
              </w:rPr>
              <w:t>X</w:t>
            </w:r>
          </w:p>
        </w:tc>
        <w:tc>
          <w:tcPr>
            <w:tcW w:w="3115" w:type="dxa"/>
            <w:vAlign w:val="center"/>
          </w:tcPr>
          <w:p w:rsidR="00F73EBF" w:rsidRPr="00F73EBF" w:rsidRDefault="00F73EBF" w:rsidP="00270928">
            <w:pPr>
              <w:ind w:left="-142"/>
              <w:jc w:val="center"/>
              <w:rPr>
                <w:sz w:val="24"/>
                <w:szCs w:val="24"/>
              </w:rPr>
            </w:pPr>
            <w:r w:rsidRPr="00F73EBF">
              <w:rPr>
                <w:sz w:val="24"/>
                <w:szCs w:val="24"/>
              </w:rPr>
              <w:t>У</w:t>
            </w:r>
          </w:p>
        </w:tc>
      </w:tr>
      <w:tr w:rsidR="00F73EBF" w:rsidRPr="00F73EBF" w:rsidTr="00270928">
        <w:tc>
          <w:tcPr>
            <w:tcW w:w="3115" w:type="dxa"/>
            <w:vAlign w:val="bottom"/>
          </w:tcPr>
          <w:p w:rsidR="00F73EBF" w:rsidRPr="00F73EBF" w:rsidRDefault="00F73EBF" w:rsidP="00270928">
            <w:pPr>
              <w:ind w:left="25" w:hanging="25"/>
              <w:jc w:val="center"/>
              <w:rPr>
                <w:sz w:val="24"/>
                <w:szCs w:val="24"/>
              </w:rPr>
            </w:pPr>
            <w:r w:rsidRPr="00F73EBF">
              <w:rPr>
                <w:sz w:val="24"/>
                <w:szCs w:val="24"/>
              </w:rPr>
              <w:t>1</w:t>
            </w:r>
          </w:p>
        </w:tc>
        <w:tc>
          <w:tcPr>
            <w:tcW w:w="3115" w:type="dxa"/>
            <w:vAlign w:val="bottom"/>
          </w:tcPr>
          <w:p w:rsidR="00F73EBF" w:rsidRPr="00F73EBF" w:rsidRDefault="00F73EBF" w:rsidP="00270928">
            <w:pPr>
              <w:ind w:left="25" w:hanging="25"/>
              <w:jc w:val="center"/>
              <w:rPr>
                <w:sz w:val="24"/>
                <w:szCs w:val="24"/>
              </w:rPr>
            </w:pPr>
            <w:r w:rsidRPr="00F73EBF">
              <w:rPr>
                <w:sz w:val="24"/>
                <w:szCs w:val="24"/>
              </w:rPr>
              <w:t>930938.10</w:t>
            </w:r>
          </w:p>
        </w:tc>
        <w:tc>
          <w:tcPr>
            <w:tcW w:w="3115" w:type="dxa"/>
            <w:vAlign w:val="bottom"/>
          </w:tcPr>
          <w:p w:rsidR="00F73EBF" w:rsidRPr="00F73EBF" w:rsidRDefault="00F73EBF" w:rsidP="00270928">
            <w:pPr>
              <w:ind w:left="25" w:hanging="25"/>
              <w:jc w:val="center"/>
              <w:rPr>
                <w:sz w:val="24"/>
                <w:szCs w:val="24"/>
              </w:rPr>
            </w:pPr>
            <w:r w:rsidRPr="00F73EBF">
              <w:rPr>
                <w:sz w:val="24"/>
                <w:szCs w:val="24"/>
              </w:rPr>
              <w:t>2711122.04</w:t>
            </w:r>
          </w:p>
        </w:tc>
      </w:tr>
      <w:tr w:rsidR="00F73EBF" w:rsidRPr="00F73EBF" w:rsidTr="00270928">
        <w:tc>
          <w:tcPr>
            <w:tcW w:w="3115" w:type="dxa"/>
            <w:vAlign w:val="bottom"/>
          </w:tcPr>
          <w:p w:rsidR="00F73EBF" w:rsidRPr="00F73EBF" w:rsidRDefault="00F73EBF" w:rsidP="00270928">
            <w:pPr>
              <w:ind w:left="25" w:hanging="25"/>
              <w:jc w:val="center"/>
              <w:rPr>
                <w:sz w:val="24"/>
                <w:szCs w:val="24"/>
              </w:rPr>
            </w:pPr>
            <w:r w:rsidRPr="00F73EBF">
              <w:rPr>
                <w:sz w:val="24"/>
                <w:szCs w:val="24"/>
              </w:rPr>
              <w:t>2</w:t>
            </w:r>
          </w:p>
        </w:tc>
        <w:tc>
          <w:tcPr>
            <w:tcW w:w="3115" w:type="dxa"/>
            <w:vAlign w:val="bottom"/>
          </w:tcPr>
          <w:p w:rsidR="00F73EBF" w:rsidRPr="00F73EBF" w:rsidRDefault="00F73EBF" w:rsidP="00270928">
            <w:pPr>
              <w:ind w:left="25" w:hanging="25"/>
              <w:jc w:val="center"/>
              <w:rPr>
                <w:sz w:val="24"/>
                <w:szCs w:val="24"/>
              </w:rPr>
            </w:pPr>
            <w:r w:rsidRPr="00F73EBF">
              <w:rPr>
                <w:sz w:val="24"/>
                <w:szCs w:val="24"/>
              </w:rPr>
              <w:t>930947.91</w:t>
            </w:r>
          </w:p>
        </w:tc>
        <w:tc>
          <w:tcPr>
            <w:tcW w:w="3115" w:type="dxa"/>
            <w:vAlign w:val="bottom"/>
          </w:tcPr>
          <w:p w:rsidR="00F73EBF" w:rsidRPr="00F73EBF" w:rsidRDefault="00F73EBF" w:rsidP="00270928">
            <w:pPr>
              <w:ind w:left="25" w:hanging="25"/>
              <w:jc w:val="center"/>
              <w:rPr>
                <w:sz w:val="24"/>
                <w:szCs w:val="24"/>
              </w:rPr>
            </w:pPr>
            <w:r w:rsidRPr="00F73EBF">
              <w:rPr>
                <w:sz w:val="24"/>
                <w:szCs w:val="24"/>
              </w:rPr>
              <w:t>2711042.64</w:t>
            </w:r>
          </w:p>
        </w:tc>
      </w:tr>
      <w:tr w:rsidR="00F73EBF" w:rsidRPr="00F73EBF" w:rsidTr="00270928">
        <w:tc>
          <w:tcPr>
            <w:tcW w:w="3115" w:type="dxa"/>
            <w:vAlign w:val="bottom"/>
          </w:tcPr>
          <w:p w:rsidR="00F73EBF" w:rsidRPr="00F73EBF" w:rsidRDefault="00F73EBF" w:rsidP="00270928">
            <w:pPr>
              <w:ind w:left="25" w:hanging="25"/>
              <w:jc w:val="center"/>
              <w:rPr>
                <w:sz w:val="24"/>
                <w:szCs w:val="24"/>
              </w:rPr>
            </w:pPr>
            <w:r w:rsidRPr="00F73EBF">
              <w:rPr>
                <w:sz w:val="24"/>
                <w:szCs w:val="24"/>
              </w:rPr>
              <w:t>3</w:t>
            </w:r>
          </w:p>
        </w:tc>
        <w:tc>
          <w:tcPr>
            <w:tcW w:w="3115" w:type="dxa"/>
            <w:vAlign w:val="bottom"/>
          </w:tcPr>
          <w:p w:rsidR="00F73EBF" w:rsidRPr="00F73EBF" w:rsidRDefault="00F73EBF" w:rsidP="00270928">
            <w:pPr>
              <w:ind w:left="25" w:hanging="25"/>
              <w:jc w:val="center"/>
              <w:rPr>
                <w:sz w:val="24"/>
                <w:szCs w:val="24"/>
              </w:rPr>
            </w:pPr>
            <w:r w:rsidRPr="00F73EBF">
              <w:rPr>
                <w:sz w:val="24"/>
                <w:szCs w:val="24"/>
              </w:rPr>
              <w:t>930937.68</w:t>
            </w:r>
          </w:p>
        </w:tc>
        <w:tc>
          <w:tcPr>
            <w:tcW w:w="3115" w:type="dxa"/>
            <w:vAlign w:val="bottom"/>
          </w:tcPr>
          <w:p w:rsidR="00F73EBF" w:rsidRPr="00F73EBF" w:rsidRDefault="00F73EBF" w:rsidP="00270928">
            <w:pPr>
              <w:ind w:left="25" w:hanging="25"/>
              <w:jc w:val="center"/>
              <w:rPr>
                <w:sz w:val="24"/>
                <w:szCs w:val="24"/>
              </w:rPr>
            </w:pPr>
            <w:r w:rsidRPr="00F73EBF">
              <w:rPr>
                <w:sz w:val="24"/>
                <w:szCs w:val="24"/>
              </w:rPr>
              <w:t>2711041.38</w:t>
            </w:r>
          </w:p>
        </w:tc>
      </w:tr>
      <w:tr w:rsidR="00F73EBF" w:rsidRPr="00F73EBF" w:rsidTr="00270928">
        <w:tc>
          <w:tcPr>
            <w:tcW w:w="3115" w:type="dxa"/>
            <w:vAlign w:val="bottom"/>
          </w:tcPr>
          <w:p w:rsidR="00F73EBF" w:rsidRPr="00F73EBF" w:rsidRDefault="00F73EBF" w:rsidP="00270928">
            <w:pPr>
              <w:ind w:left="25" w:hanging="25"/>
              <w:jc w:val="center"/>
              <w:rPr>
                <w:sz w:val="24"/>
                <w:szCs w:val="24"/>
              </w:rPr>
            </w:pPr>
            <w:r w:rsidRPr="00F73EBF">
              <w:rPr>
                <w:sz w:val="24"/>
                <w:szCs w:val="24"/>
              </w:rPr>
              <w:t>4</w:t>
            </w:r>
          </w:p>
        </w:tc>
        <w:tc>
          <w:tcPr>
            <w:tcW w:w="3115" w:type="dxa"/>
            <w:vAlign w:val="bottom"/>
          </w:tcPr>
          <w:p w:rsidR="00F73EBF" w:rsidRPr="00F73EBF" w:rsidRDefault="00F73EBF" w:rsidP="00270928">
            <w:pPr>
              <w:ind w:left="25" w:hanging="25"/>
              <w:jc w:val="center"/>
              <w:rPr>
                <w:sz w:val="24"/>
                <w:szCs w:val="24"/>
              </w:rPr>
            </w:pPr>
            <w:r w:rsidRPr="00F73EBF">
              <w:rPr>
                <w:sz w:val="24"/>
                <w:szCs w:val="24"/>
              </w:rPr>
              <w:t>930933.20</w:t>
            </w:r>
          </w:p>
        </w:tc>
        <w:tc>
          <w:tcPr>
            <w:tcW w:w="3115" w:type="dxa"/>
            <w:vAlign w:val="bottom"/>
          </w:tcPr>
          <w:p w:rsidR="00F73EBF" w:rsidRPr="00F73EBF" w:rsidRDefault="00F73EBF" w:rsidP="00270928">
            <w:pPr>
              <w:ind w:left="25" w:hanging="25"/>
              <w:jc w:val="center"/>
              <w:rPr>
                <w:sz w:val="24"/>
                <w:szCs w:val="24"/>
              </w:rPr>
            </w:pPr>
            <w:r w:rsidRPr="00F73EBF">
              <w:rPr>
                <w:sz w:val="24"/>
                <w:szCs w:val="24"/>
              </w:rPr>
              <w:t>2711040.82</w:t>
            </w:r>
          </w:p>
        </w:tc>
      </w:tr>
      <w:tr w:rsidR="00F73EBF" w:rsidRPr="00F73EBF" w:rsidTr="00270928">
        <w:tc>
          <w:tcPr>
            <w:tcW w:w="3115" w:type="dxa"/>
            <w:vAlign w:val="bottom"/>
          </w:tcPr>
          <w:p w:rsidR="00F73EBF" w:rsidRPr="00F73EBF" w:rsidRDefault="00F73EBF" w:rsidP="00270928">
            <w:pPr>
              <w:ind w:left="25" w:hanging="25"/>
              <w:jc w:val="center"/>
              <w:rPr>
                <w:sz w:val="24"/>
                <w:szCs w:val="24"/>
              </w:rPr>
            </w:pPr>
            <w:r w:rsidRPr="00F73EBF">
              <w:rPr>
                <w:sz w:val="24"/>
                <w:szCs w:val="24"/>
              </w:rPr>
              <w:t>5</w:t>
            </w:r>
          </w:p>
        </w:tc>
        <w:tc>
          <w:tcPr>
            <w:tcW w:w="3115" w:type="dxa"/>
            <w:vAlign w:val="bottom"/>
          </w:tcPr>
          <w:p w:rsidR="00F73EBF" w:rsidRPr="00F73EBF" w:rsidRDefault="00F73EBF" w:rsidP="00270928">
            <w:pPr>
              <w:ind w:left="25" w:hanging="25"/>
              <w:jc w:val="center"/>
              <w:rPr>
                <w:sz w:val="24"/>
                <w:szCs w:val="24"/>
              </w:rPr>
            </w:pPr>
            <w:r w:rsidRPr="00F73EBF">
              <w:rPr>
                <w:sz w:val="24"/>
                <w:szCs w:val="24"/>
              </w:rPr>
              <w:t>930931.10</w:t>
            </w:r>
          </w:p>
        </w:tc>
        <w:tc>
          <w:tcPr>
            <w:tcW w:w="3115" w:type="dxa"/>
            <w:vAlign w:val="bottom"/>
          </w:tcPr>
          <w:p w:rsidR="00F73EBF" w:rsidRPr="00F73EBF" w:rsidRDefault="00F73EBF" w:rsidP="00270928">
            <w:pPr>
              <w:ind w:left="25" w:hanging="25"/>
              <w:jc w:val="center"/>
              <w:rPr>
                <w:sz w:val="24"/>
                <w:szCs w:val="24"/>
              </w:rPr>
            </w:pPr>
            <w:r w:rsidRPr="00F73EBF">
              <w:rPr>
                <w:sz w:val="24"/>
                <w:szCs w:val="24"/>
              </w:rPr>
              <w:t>2711038.72</w:t>
            </w:r>
          </w:p>
        </w:tc>
      </w:tr>
      <w:tr w:rsidR="00F73EBF" w:rsidRPr="00F73EBF" w:rsidTr="00270928">
        <w:tc>
          <w:tcPr>
            <w:tcW w:w="3115" w:type="dxa"/>
            <w:vAlign w:val="bottom"/>
          </w:tcPr>
          <w:p w:rsidR="00F73EBF" w:rsidRPr="00F73EBF" w:rsidRDefault="00F73EBF" w:rsidP="00270928">
            <w:pPr>
              <w:ind w:left="25" w:hanging="25"/>
              <w:jc w:val="center"/>
              <w:rPr>
                <w:sz w:val="24"/>
                <w:szCs w:val="24"/>
              </w:rPr>
            </w:pPr>
            <w:r w:rsidRPr="00F73EBF">
              <w:rPr>
                <w:sz w:val="24"/>
                <w:szCs w:val="24"/>
              </w:rPr>
              <w:t>6</w:t>
            </w:r>
          </w:p>
        </w:tc>
        <w:tc>
          <w:tcPr>
            <w:tcW w:w="3115" w:type="dxa"/>
            <w:vAlign w:val="bottom"/>
          </w:tcPr>
          <w:p w:rsidR="00F73EBF" w:rsidRPr="00F73EBF" w:rsidRDefault="00F73EBF" w:rsidP="00270928">
            <w:pPr>
              <w:ind w:left="25" w:hanging="25"/>
              <w:jc w:val="center"/>
              <w:rPr>
                <w:sz w:val="24"/>
                <w:szCs w:val="24"/>
              </w:rPr>
            </w:pPr>
            <w:r w:rsidRPr="00F73EBF">
              <w:rPr>
                <w:sz w:val="24"/>
                <w:szCs w:val="24"/>
              </w:rPr>
              <w:t>930915.96</w:t>
            </w:r>
          </w:p>
        </w:tc>
        <w:tc>
          <w:tcPr>
            <w:tcW w:w="3115" w:type="dxa"/>
            <w:vAlign w:val="bottom"/>
          </w:tcPr>
          <w:p w:rsidR="00F73EBF" w:rsidRPr="00F73EBF" w:rsidRDefault="00F73EBF" w:rsidP="00270928">
            <w:pPr>
              <w:ind w:left="25" w:hanging="25"/>
              <w:jc w:val="center"/>
              <w:rPr>
                <w:sz w:val="24"/>
                <w:szCs w:val="24"/>
              </w:rPr>
            </w:pPr>
            <w:r w:rsidRPr="00F73EBF">
              <w:rPr>
                <w:sz w:val="24"/>
                <w:szCs w:val="24"/>
              </w:rPr>
              <w:t>2711033.66</w:t>
            </w:r>
          </w:p>
        </w:tc>
      </w:tr>
      <w:tr w:rsidR="00F73EBF" w:rsidRPr="00F73EBF" w:rsidTr="00270928">
        <w:tc>
          <w:tcPr>
            <w:tcW w:w="3115" w:type="dxa"/>
            <w:vAlign w:val="bottom"/>
          </w:tcPr>
          <w:p w:rsidR="00F73EBF" w:rsidRPr="00F73EBF" w:rsidRDefault="00F73EBF" w:rsidP="00270928">
            <w:pPr>
              <w:ind w:left="25" w:hanging="25"/>
              <w:jc w:val="center"/>
              <w:rPr>
                <w:sz w:val="24"/>
                <w:szCs w:val="24"/>
              </w:rPr>
            </w:pPr>
            <w:r w:rsidRPr="00F73EBF">
              <w:rPr>
                <w:sz w:val="24"/>
                <w:szCs w:val="24"/>
              </w:rPr>
              <w:t>7</w:t>
            </w:r>
          </w:p>
        </w:tc>
        <w:tc>
          <w:tcPr>
            <w:tcW w:w="3115" w:type="dxa"/>
            <w:vAlign w:val="bottom"/>
          </w:tcPr>
          <w:p w:rsidR="00F73EBF" w:rsidRPr="00F73EBF" w:rsidRDefault="00F73EBF" w:rsidP="00270928">
            <w:pPr>
              <w:ind w:left="25" w:hanging="25"/>
              <w:jc w:val="center"/>
              <w:rPr>
                <w:sz w:val="24"/>
                <w:szCs w:val="24"/>
              </w:rPr>
            </w:pPr>
            <w:r w:rsidRPr="00F73EBF">
              <w:rPr>
                <w:sz w:val="24"/>
                <w:szCs w:val="24"/>
              </w:rPr>
              <w:t>930822.78</w:t>
            </w:r>
          </w:p>
        </w:tc>
        <w:tc>
          <w:tcPr>
            <w:tcW w:w="3115" w:type="dxa"/>
            <w:vAlign w:val="bottom"/>
          </w:tcPr>
          <w:p w:rsidR="00F73EBF" w:rsidRPr="00F73EBF" w:rsidRDefault="00F73EBF" w:rsidP="00270928">
            <w:pPr>
              <w:ind w:left="25" w:hanging="25"/>
              <w:jc w:val="center"/>
              <w:rPr>
                <w:sz w:val="24"/>
                <w:szCs w:val="24"/>
              </w:rPr>
            </w:pPr>
            <w:r w:rsidRPr="00F73EBF">
              <w:rPr>
                <w:sz w:val="24"/>
                <w:szCs w:val="24"/>
              </w:rPr>
              <w:t>2711022.26</w:t>
            </w:r>
          </w:p>
        </w:tc>
      </w:tr>
      <w:tr w:rsidR="00F73EBF" w:rsidRPr="00F73EBF" w:rsidTr="00270928">
        <w:tc>
          <w:tcPr>
            <w:tcW w:w="3115" w:type="dxa"/>
            <w:vAlign w:val="bottom"/>
          </w:tcPr>
          <w:p w:rsidR="00F73EBF" w:rsidRPr="00F73EBF" w:rsidRDefault="00F73EBF" w:rsidP="00270928">
            <w:pPr>
              <w:ind w:left="25" w:hanging="25"/>
              <w:jc w:val="center"/>
              <w:rPr>
                <w:sz w:val="24"/>
                <w:szCs w:val="24"/>
              </w:rPr>
            </w:pPr>
            <w:r w:rsidRPr="00F73EBF">
              <w:rPr>
                <w:sz w:val="24"/>
                <w:szCs w:val="24"/>
              </w:rPr>
              <w:t>8</w:t>
            </w:r>
          </w:p>
        </w:tc>
        <w:tc>
          <w:tcPr>
            <w:tcW w:w="3115" w:type="dxa"/>
            <w:vAlign w:val="bottom"/>
          </w:tcPr>
          <w:p w:rsidR="00F73EBF" w:rsidRPr="00F73EBF" w:rsidRDefault="00F73EBF" w:rsidP="00270928">
            <w:pPr>
              <w:ind w:left="25" w:hanging="25"/>
              <w:jc w:val="center"/>
              <w:rPr>
                <w:sz w:val="24"/>
                <w:szCs w:val="24"/>
              </w:rPr>
            </w:pPr>
            <w:r w:rsidRPr="00F73EBF">
              <w:rPr>
                <w:sz w:val="24"/>
                <w:szCs w:val="24"/>
              </w:rPr>
              <w:t>930817.92</w:t>
            </w:r>
          </w:p>
        </w:tc>
        <w:tc>
          <w:tcPr>
            <w:tcW w:w="3115" w:type="dxa"/>
            <w:vAlign w:val="bottom"/>
          </w:tcPr>
          <w:p w:rsidR="00F73EBF" w:rsidRPr="00F73EBF" w:rsidRDefault="00F73EBF" w:rsidP="00270928">
            <w:pPr>
              <w:ind w:left="25" w:hanging="25"/>
              <w:jc w:val="center"/>
              <w:rPr>
                <w:sz w:val="24"/>
                <w:szCs w:val="24"/>
              </w:rPr>
            </w:pPr>
            <w:r w:rsidRPr="00F73EBF">
              <w:rPr>
                <w:sz w:val="24"/>
                <w:szCs w:val="24"/>
              </w:rPr>
              <w:t>2711021.96</w:t>
            </w:r>
          </w:p>
        </w:tc>
      </w:tr>
      <w:tr w:rsidR="00F73EBF" w:rsidRPr="00F73EBF" w:rsidTr="00270928">
        <w:tc>
          <w:tcPr>
            <w:tcW w:w="3115" w:type="dxa"/>
            <w:vAlign w:val="bottom"/>
          </w:tcPr>
          <w:p w:rsidR="00F73EBF" w:rsidRPr="00F73EBF" w:rsidRDefault="00F73EBF" w:rsidP="00270928">
            <w:pPr>
              <w:ind w:left="25" w:hanging="25"/>
              <w:jc w:val="center"/>
              <w:rPr>
                <w:sz w:val="24"/>
                <w:szCs w:val="24"/>
              </w:rPr>
            </w:pPr>
            <w:r w:rsidRPr="00F73EBF">
              <w:rPr>
                <w:sz w:val="24"/>
                <w:szCs w:val="24"/>
              </w:rPr>
              <w:t>9</w:t>
            </w:r>
          </w:p>
        </w:tc>
        <w:tc>
          <w:tcPr>
            <w:tcW w:w="3115" w:type="dxa"/>
            <w:vAlign w:val="bottom"/>
          </w:tcPr>
          <w:p w:rsidR="00F73EBF" w:rsidRPr="00F73EBF" w:rsidRDefault="00F73EBF" w:rsidP="00270928">
            <w:pPr>
              <w:ind w:left="25" w:hanging="25"/>
              <w:jc w:val="center"/>
              <w:rPr>
                <w:sz w:val="24"/>
                <w:szCs w:val="24"/>
              </w:rPr>
            </w:pPr>
            <w:r w:rsidRPr="00F73EBF">
              <w:rPr>
                <w:sz w:val="24"/>
                <w:szCs w:val="24"/>
              </w:rPr>
              <w:t>930809.60</w:t>
            </w:r>
          </w:p>
        </w:tc>
        <w:tc>
          <w:tcPr>
            <w:tcW w:w="3115" w:type="dxa"/>
            <w:vAlign w:val="bottom"/>
          </w:tcPr>
          <w:p w:rsidR="00F73EBF" w:rsidRPr="00F73EBF" w:rsidRDefault="00F73EBF" w:rsidP="00270928">
            <w:pPr>
              <w:ind w:left="25" w:hanging="25"/>
              <w:jc w:val="center"/>
              <w:rPr>
                <w:sz w:val="24"/>
                <w:szCs w:val="24"/>
              </w:rPr>
            </w:pPr>
            <w:r w:rsidRPr="00F73EBF">
              <w:rPr>
                <w:sz w:val="24"/>
                <w:szCs w:val="24"/>
              </w:rPr>
              <w:t>2711102.39</w:t>
            </w:r>
          </w:p>
        </w:tc>
      </w:tr>
      <w:tr w:rsidR="00F73EBF" w:rsidRPr="00F73EBF" w:rsidTr="00270928">
        <w:tc>
          <w:tcPr>
            <w:tcW w:w="3115" w:type="dxa"/>
            <w:vAlign w:val="bottom"/>
          </w:tcPr>
          <w:p w:rsidR="00F73EBF" w:rsidRPr="00F73EBF" w:rsidRDefault="00F73EBF" w:rsidP="00270928">
            <w:pPr>
              <w:ind w:left="25" w:hanging="25"/>
              <w:jc w:val="center"/>
              <w:rPr>
                <w:sz w:val="24"/>
                <w:szCs w:val="24"/>
              </w:rPr>
            </w:pPr>
            <w:r w:rsidRPr="00F73EBF">
              <w:rPr>
                <w:sz w:val="24"/>
                <w:szCs w:val="24"/>
              </w:rPr>
              <w:t>10</w:t>
            </w:r>
          </w:p>
        </w:tc>
        <w:tc>
          <w:tcPr>
            <w:tcW w:w="3115" w:type="dxa"/>
            <w:vAlign w:val="bottom"/>
          </w:tcPr>
          <w:p w:rsidR="00F73EBF" w:rsidRPr="00F73EBF" w:rsidRDefault="00F73EBF" w:rsidP="00270928">
            <w:pPr>
              <w:ind w:left="25" w:hanging="25"/>
              <w:jc w:val="center"/>
              <w:rPr>
                <w:sz w:val="24"/>
                <w:szCs w:val="24"/>
              </w:rPr>
            </w:pPr>
            <w:r w:rsidRPr="00F73EBF">
              <w:rPr>
                <w:sz w:val="24"/>
                <w:szCs w:val="24"/>
              </w:rPr>
              <w:t>930813.59</w:t>
            </w:r>
          </w:p>
        </w:tc>
        <w:tc>
          <w:tcPr>
            <w:tcW w:w="3115" w:type="dxa"/>
            <w:vAlign w:val="bottom"/>
          </w:tcPr>
          <w:p w:rsidR="00F73EBF" w:rsidRPr="00F73EBF" w:rsidRDefault="00F73EBF" w:rsidP="00270928">
            <w:pPr>
              <w:ind w:left="25" w:hanging="25"/>
              <w:jc w:val="center"/>
              <w:rPr>
                <w:sz w:val="24"/>
                <w:szCs w:val="24"/>
              </w:rPr>
            </w:pPr>
            <w:r w:rsidRPr="00F73EBF">
              <w:rPr>
                <w:sz w:val="24"/>
                <w:szCs w:val="24"/>
              </w:rPr>
              <w:t>2711102.87</w:t>
            </w:r>
          </w:p>
        </w:tc>
      </w:tr>
      <w:tr w:rsidR="00F73EBF" w:rsidRPr="00F73EBF" w:rsidTr="00270928">
        <w:tc>
          <w:tcPr>
            <w:tcW w:w="3115" w:type="dxa"/>
            <w:vAlign w:val="bottom"/>
          </w:tcPr>
          <w:p w:rsidR="00F73EBF" w:rsidRPr="00F73EBF" w:rsidRDefault="00F73EBF" w:rsidP="00270928">
            <w:pPr>
              <w:ind w:left="25" w:hanging="25"/>
              <w:jc w:val="center"/>
              <w:rPr>
                <w:sz w:val="24"/>
                <w:szCs w:val="24"/>
              </w:rPr>
            </w:pPr>
            <w:r w:rsidRPr="00F73EBF">
              <w:rPr>
                <w:sz w:val="24"/>
                <w:szCs w:val="24"/>
              </w:rPr>
              <w:t>11</w:t>
            </w:r>
          </w:p>
        </w:tc>
        <w:tc>
          <w:tcPr>
            <w:tcW w:w="3115" w:type="dxa"/>
            <w:vAlign w:val="bottom"/>
          </w:tcPr>
          <w:p w:rsidR="00F73EBF" w:rsidRPr="00F73EBF" w:rsidRDefault="00F73EBF" w:rsidP="00270928">
            <w:pPr>
              <w:ind w:left="25" w:hanging="25"/>
              <w:jc w:val="center"/>
              <w:rPr>
                <w:sz w:val="24"/>
                <w:szCs w:val="24"/>
              </w:rPr>
            </w:pPr>
            <w:r w:rsidRPr="00F73EBF">
              <w:rPr>
                <w:sz w:val="24"/>
                <w:szCs w:val="24"/>
              </w:rPr>
              <w:t>930817.68</w:t>
            </w:r>
          </w:p>
        </w:tc>
        <w:tc>
          <w:tcPr>
            <w:tcW w:w="3115" w:type="dxa"/>
            <w:vAlign w:val="bottom"/>
          </w:tcPr>
          <w:p w:rsidR="00F73EBF" w:rsidRPr="00F73EBF" w:rsidRDefault="00F73EBF" w:rsidP="00270928">
            <w:pPr>
              <w:ind w:left="25" w:hanging="25"/>
              <w:jc w:val="center"/>
              <w:rPr>
                <w:sz w:val="24"/>
                <w:szCs w:val="24"/>
              </w:rPr>
            </w:pPr>
            <w:r w:rsidRPr="00F73EBF">
              <w:rPr>
                <w:sz w:val="24"/>
                <w:szCs w:val="24"/>
              </w:rPr>
              <w:t>2711103.08</w:t>
            </w:r>
          </w:p>
        </w:tc>
      </w:tr>
      <w:tr w:rsidR="00F73EBF" w:rsidRPr="00F73EBF" w:rsidTr="00270928">
        <w:tc>
          <w:tcPr>
            <w:tcW w:w="3115" w:type="dxa"/>
            <w:vAlign w:val="bottom"/>
          </w:tcPr>
          <w:p w:rsidR="00F73EBF" w:rsidRPr="00F73EBF" w:rsidRDefault="00F73EBF" w:rsidP="00270928">
            <w:pPr>
              <w:ind w:left="25" w:hanging="25"/>
              <w:jc w:val="center"/>
              <w:rPr>
                <w:sz w:val="24"/>
                <w:szCs w:val="24"/>
              </w:rPr>
            </w:pPr>
            <w:r w:rsidRPr="00F73EBF">
              <w:rPr>
                <w:sz w:val="24"/>
                <w:szCs w:val="24"/>
              </w:rPr>
              <w:t>12</w:t>
            </w:r>
          </w:p>
        </w:tc>
        <w:tc>
          <w:tcPr>
            <w:tcW w:w="3115" w:type="dxa"/>
            <w:vAlign w:val="bottom"/>
          </w:tcPr>
          <w:p w:rsidR="00F73EBF" w:rsidRPr="00F73EBF" w:rsidRDefault="00F73EBF" w:rsidP="00270928">
            <w:pPr>
              <w:ind w:left="25" w:hanging="25"/>
              <w:jc w:val="center"/>
              <w:rPr>
                <w:sz w:val="24"/>
                <w:szCs w:val="24"/>
              </w:rPr>
            </w:pPr>
            <w:r w:rsidRPr="00F73EBF">
              <w:rPr>
                <w:sz w:val="24"/>
                <w:szCs w:val="24"/>
              </w:rPr>
              <w:t>930822.33</w:t>
            </w:r>
          </w:p>
        </w:tc>
        <w:tc>
          <w:tcPr>
            <w:tcW w:w="3115" w:type="dxa"/>
            <w:vAlign w:val="bottom"/>
          </w:tcPr>
          <w:p w:rsidR="00F73EBF" w:rsidRPr="00F73EBF" w:rsidRDefault="00F73EBF" w:rsidP="00270928">
            <w:pPr>
              <w:ind w:left="25" w:hanging="25"/>
              <w:jc w:val="center"/>
              <w:rPr>
                <w:sz w:val="24"/>
                <w:szCs w:val="24"/>
              </w:rPr>
            </w:pPr>
            <w:r w:rsidRPr="00F73EBF">
              <w:rPr>
                <w:sz w:val="24"/>
                <w:szCs w:val="24"/>
              </w:rPr>
              <w:t>2711102.80</w:t>
            </w:r>
          </w:p>
        </w:tc>
      </w:tr>
      <w:tr w:rsidR="00F73EBF" w:rsidRPr="00F73EBF" w:rsidTr="00270928">
        <w:tc>
          <w:tcPr>
            <w:tcW w:w="3115" w:type="dxa"/>
            <w:vAlign w:val="bottom"/>
          </w:tcPr>
          <w:p w:rsidR="00F73EBF" w:rsidRPr="00F73EBF" w:rsidRDefault="00F73EBF" w:rsidP="00270928">
            <w:pPr>
              <w:ind w:left="25" w:hanging="25"/>
              <w:jc w:val="center"/>
              <w:rPr>
                <w:sz w:val="24"/>
                <w:szCs w:val="24"/>
              </w:rPr>
            </w:pPr>
            <w:r w:rsidRPr="00F73EBF">
              <w:rPr>
                <w:sz w:val="24"/>
                <w:szCs w:val="24"/>
              </w:rPr>
              <w:lastRenderedPageBreak/>
              <w:t>13</w:t>
            </w:r>
          </w:p>
        </w:tc>
        <w:tc>
          <w:tcPr>
            <w:tcW w:w="3115" w:type="dxa"/>
            <w:vAlign w:val="bottom"/>
          </w:tcPr>
          <w:p w:rsidR="00F73EBF" w:rsidRPr="00F73EBF" w:rsidRDefault="00F73EBF" w:rsidP="00270928">
            <w:pPr>
              <w:ind w:left="25" w:hanging="25"/>
              <w:jc w:val="center"/>
              <w:rPr>
                <w:sz w:val="24"/>
                <w:szCs w:val="24"/>
              </w:rPr>
            </w:pPr>
            <w:r w:rsidRPr="00F73EBF">
              <w:rPr>
                <w:sz w:val="24"/>
                <w:szCs w:val="24"/>
              </w:rPr>
              <w:t>930888.47</w:t>
            </w:r>
          </w:p>
        </w:tc>
        <w:tc>
          <w:tcPr>
            <w:tcW w:w="3115" w:type="dxa"/>
            <w:vAlign w:val="bottom"/>
          </w:tcPr>
          <w:p w:rsidR="00F73EBF" w:rsidRPr="00F73EBF" w:rsidRDefault="00F73EBF" w:rsidP="00270928">
            <w:pPr>
              <w:ind w:left="25" w:hanging="25"/>
              <w:jc w:val="center"/>
              <w:rPr>
                <w:sz w:val="24"/>
                <w:szCs w:val="24"/>
              </w:rPr>
            </w:pPr>
            <w:r w:rsidRPr="00F73EBF">
              <w:rPr>
                <w:sz w:val="24"/>
                <w:szCs w:val="24"/>
              </w:rPr>
              <w:t>2711110.89</w:t>
            </w:r>
          </w:p>
        </w:tc>
      </w:tr>
      <w:tr w:rsidR="00F73EBF" w:rsidRPr="00F73EBF" w:rsidTr="00270928">
        <w:tc>
          <w:tcPr>
            <w:tcW w:w="3115" w:type="dxa"/>
            <w:vAlign w:val="bottom"/>
          </w:tcPr>
          <w:p w:rsidR="00F73EBF" w:rsidRPr="00F73EBF" w:rsidRDefault="00F73EBF" w:rsidP="00270928">
            <w:pPr>
              <w:ind w:left="25" w:hanging="25"/>
              <w:jc w:val="center"/>
              <w:rPr>
                <w:sz w:val="24"/>
                <w:szCs w:val="24"/>
              </w:rPr>
            </w:pPr>
            <w:r w:rsidRPr="00F73EBF">
              <w:rPr>
                <w:sz w:val="24"/>
                <w:szCs w:val="24"/>
              </w:rPr>
              <w:t>14</w:t>
            </w:r>
          </w:p>
        </w:tc>
        <w:tc>
          <w:tcPr>
            <w:tcW w:w="3115" w:type="dxa"/>
            <w:vAlign w:val="bottom"/>
          </w:tcPr>
          <w:p w:rsidR="00F73EBF" w:rsidRPr="00F73EBF" w:rsidRDefault="00F73EBF" w:rsidP="00270928">
            <w:pPr>
              <w:ind w:left="25" w:hanging="25"/>
              <w:jc w:val="center"/>
              <w:rPr>
                <w:sz w:val="24"/>
                <w:szCs w:val="24"/>
              </w:rPr>
            </w:pPr>
            <w:r w:rsidRPr="00F73EBF">
              <w:rPr>
                <w:sz w:val="24"/>
                <w:szCs w:val="24"/>
              </w:rPr>
              <w:t>930890.50</w:t>
            </w:r>
          </w:p>
        </w:tc>
        <w:tc>
          <w:tcPr>
            <w:tcW w:w="3115" w:type="dxa"/>
            <w:vAlign w:val="bottom"/>
          </w:tcPr>
          <w:p w:rsidR="00F73EBF" w:rsidRPr="00F73EBF" w:rsidRDefault="00F73EBF" w:rsidP="00270928">
            <w:pPr>
              <w:ind w:left="25" w:hanging="25"/>
              <w:jc w:val="center"/>
              <w:rPr>
                <w:sz w:val="24"/>
                <w:szCs w:val="24"/>
              </w:rPr>
            </w:pPr>
            <w:r w:rsidRPr="00F73EBF">
              <w:rPr>
                <w:sz w:val="24"/>
                <w:szCs w:val="24"/>
              </w:rPr>
              <w:t>2711112.92</w:t>
            </w:r>
          </w:p>
        </w:tc>
      </w:tr>
      <w:tr w:rsidR="00F73EBF" w:rsidRPr="00F73EBF" w:rsidTr="00270928">
        <w:tc>
          <w:tcPr>
            <w:tcW w:w="3115" w:type="dxa"/>
            <w:vAlign w:val="bottom"/>
          </w:tcPr>
          <w:p w:rsidR="00F73EBF" w:rsidRPr="00F73EBF" w:rsidRDefault="00F73EBF" w:rsidP="00270928">
            <w:pPr>
              <w:ind w:left="25" w:hanging="25"/>
              <w:jc w:val="center"/>
              <w:rPr>
                <w:sz w:val="24"/>
                <w:szCs w:val="24"/>
              </w:rPr>
            </w:pPr>
            <w:r w:rsidRPr="00F73EBF">
              <w:rPr>
                <w:sz w:val="24"/>
                <w:szCs w:val="24"/>
              </w:rPr>
              <w:t>15</w:t>
            </w:r>
          </w:p>
        </w:tc>
        <w:tc>
          <w:tcPr>
            <w:tcW w:w="3115" w:type="dxa"/>
            <w:vAlign w:val="bottom"/>
          </w:tcPr>
          <w:p w:rsidR="00F73EBF" w:rsidRPr="00F73EBF" w:rsidRDefault="00F73EBF" w:rsidP="00270928">
            <w:pPr>
              <w:ind w:left="25" w:hanging="25"/>
              <w:jc w:val="center"/>
              <w:rPr>
                <w:sz w:val="24"/>
                <w:szCs w:val="24"/>
              </w:rPr>
            </w:pPr>
            <w:r w:rsidRPr="00F73EBF">
              <w:rPr>
                <w:sz w:val="24"/>
                <w:szCs w:val="24"/>
              </w:rPr>
              <w:t>930897.35</w:t>
            </w:r>
          </w:p>
        </w:tc>
        <w:tc>
          <w:tcPr>
            <w:tcW w:w="3115" w:type="dxa"/>
            <w:vAlign w:val="bottom"/>
          </w:tcPr>
          <w:p w:rsidR="00F73EBF" w:rsidRPr="00F73EBF" w:rsidRDefault="00F73EBF" w:rsidP="00270928">
            <w:pPr>
              <w:ind w:left="25" w:hanging="25"/>
              <w:jc w:val="center"/>
              <w:rPr>
                <w:sz w:val="24"/>
                <w:szCs w:val="24"/>
              </w:rPr>
            </w:pPr>
            <w:r w:rsidRPr="00F73EBF">
              <w:rPr>
                <w:sz w:val="24"/>
                <w:szCs w:val="24"/>
              </w:rPr>
              <w:t>2711115.22</w:t>
            </w:r>
          </w:p>
        </w:tc>
      </w:tr>
      <w:tr w:rsidR="00F73EBF" w:rsidRPr="00F73EBF" w:rsidTr="00270928">
        <w:tc>
          <w:tcPr>
            <w:tcW w:w="3115" w:type="dxa"/>
            <w:vAlign w:val="bottom"/>
          </w:tcPr>
          <w:p w:rsidR="00F73EBF" w:rsidRPr="00F73EBF" w:rsidRDefault="00F73EBF" w:rsidP="00270928">
            <w:pPr>
              <w:ind w:left="25" w:hanging="25"/>
              <w:jc w:val="center"/>
              <w:rPr>
                <w:sz w:val="24"/>
                <w:szCs w:val="24"/>
              </w:rPr>
            </w:pPr>
            <w:r w:rsidRPr="00F73EBF">
              <w:rPr>
                <w:sz w:val="24"/>
                <w:szCs w:val="24"/>
              </w:rPr>
              <w:t>16</w:t>
            </w:r>
          </w:p>
        </w:tc>
        <w:tc>
          <w:tcPr>
            <w:tcW w:w="3115" w:type="dxa"/>
            <w:vAlign w:val="bottom"/>
          </w:tcPr>
          <w:p w:rsidR="00F73EBF" w:rsidRPr="00F73EBF" w:rsidRDefault="00F73EBF" w:rsidP="00270928">
            <w:pPr>
              <w:ind w:left="25" w:hanging="25"/>
              <w:jc w:val="center"/>
              <w:rPr>
                <w:sz w:val="24"/>
                <w:szCs w:val="24"/>
              </w:rPr>
            </w:pPr>
            <w:r w:rsidRPr="00F73EBF">
              <w:rPr>
                <w:sz w:val="24"/>
                <w:szCs w:val="24"/>
              </w:rPr>
              <w:t>930897.56</w:t>
            </w:r>
          </w:p>
        </w:tc>
        <w:tc>
          <w:tcPr>
            <w:tcW w:w="3115" w:type="dxa"/>
            <w:vAlign w:val="bottom"/>
          </w:tcPr>
          <w:p w:rsidR="00F73EBF" w:rsidRPr="00F73EBF" w:rsidRDefault="00F73EBF" w:rsidP="00270928">
            <w:pPr>
              <w:ind w:left="25" w:hanging="25"/>
              <w:jc w:val="center"/>
              <w:rPr>
                <w:sz w:val="24"/>
                <w:szCs w:val="24"/>
              </w:rPr>
            </w:pPr>
            <w:r w:rsidRPr="00F73EBF">
              <w:rPr>
                <w:sz w:val="24"/>
                <w:szCs w:val="24"/>
              </w:rPr>
              <w:t>2711116.00</w:t>
            </w:r>
          </w:p>
        </w:tc>
      </w:tr>
      <w:tr w:rsidR="00F73EBF" w:rsidRPr="00F73EBF" w:rsidTr="00270928">
        <w:tc>
          <w:tcPr>
            <w:tcW w:w="3115" w:type="dxa"/>
            <w:vAlign w:val="bottom"/>
          </w:tcPr>
          <w:p w:rsidR="00F73EBF" w:rsidRPr="00F73EBF" w:rsidRDefault="00F73EBF" w:rsidP="00270928">
            <w:pPr>
              <w:ind w:left="25" w:hanging="25"/>
              <w:jc w:val="center"/>
              <w:rPr>
                <w:sz w:val="24"/>
                <w:szCs w:val="24"/>
              </w:rPr>
            </w:pPr>
            <w:r w:rsidRPr="00F73EBF">
              <w:rPr>
                <w:sz w:val="24"/>
                <w:szCs w:val="24"/>
              </w:rPr>
              <w:t>17</w:t>
            </w:r>
          </w:p>
        </w:tc>
        <w:tc>
          <w:tcPr>
            <w:tcW w:w="3115" w:type="dxa"/>
            <w:vAlign w:val="bottom"/>
          </w:tcPr>
          <w:p w:rsidR="00F73EBF" w:rsidRPr="00F73EBF" w:rsidRDefault="00F73EBF" w:rsidP="00270928">
            <w:pPr>
              <w:ind w:left="25" w:hanging="25"/>
              <w:jc w:val="center"/>
              <w:rPr>
                <w:sz w:val="24"/>
                <w:szCs w:val="24"/>
              </w:rPr>
            </w:pPr>
            <w:r w:rsidRPr="00F73EBF">
              <w:rPr>
                <w:sz w:val="24"/>
                <w:szCs w:val="24"/>
              </w:rPr>
              <w:t>930929.15</w:t>
            </w:r>
          </w:p>
        </w:tc>
        <w:tc>
          <w:tcPr>
            <w:tcW w:w="3115" w:type="dxa"/>
            <w:vAlign w:val="bottom"/>
          </w:tcPr>
          <w:p w:rsidR="00F73EBF" w:rsidRPr="00F73EBF" w:rsidRDefault="00F73EBF" w:rsidP="00270928">
            <w:pPr>
              <w:ind w:left="25" w:hanging="25"/>
              <w:jc w:val="center"/>
              <w:rPr>
                <w:sz w:val="24"/>
                <w:szCs w:val="24"/>
              </w:rPr>
            </w:pPr>
            <w:r w:rsidRPr="00F73EBF">
              <w:rPr>
                <w:sz w:val="24"/>
                <w:szCs w:val="24"/>
              </w:rPr>
              <w:t>2711120.93</w:t>
            </w:r>
          </w:p>
        </w:tc>
      </w:tr>
    </w:tbl>
    <w:p w:rsidR="00F73EBF" w:rsidRDefault="00F73EBF" w:rsidP="00F73EBF">
      <w:pPr>
        <w:pStyle w:val="1"/>
        <w:sectPr w:rsidR="00F73EBF" w:rsidSect="00F46357">
          <w:type w:val="continuous"/>
          <w:pgSz w:w="11906" w:h="16838"/>
          <w:pgMar w:top="720" w:right="850" w:bottom="1620" w:left="1701" w:header="340" w:footer="708" w:gutter="0"/>
          <w:cols w:num="2" w:space="708"/>
          <w:docGrid w:linePitch="360"/>
        </w:sectPr>
      </w:pPr>
      <w:bookmarkStart w:id="27" w:name="_Toc486846228"/>
      <w:bookmarkStart w:id="28" w:name="_Toc498397332"/>
      <w:bookmarkStart w:id="29" w:name="_Toc504496791"/>
      <w:bookmarkStart w:id="30" w:name="_Toc528678169"/>
      <w:bookmarkStart w:id="31" w:name="_Toc531422135"/>
      <w:bookmarkStart w:id="32" w:name="_Toc531424124"/>
      <w:bookmarkStart w:id="33" w:name="_Toc9070744"/>
      <w:bookmarkStart w:id="34" w:name="_Toc58490204"/>
    </w:p>
    <w:p w:rsidR="00F73EBF" w:rsidRPr="002119FC" w:rsidRDefault="00F73EBF" w:rsidP="00F73EBF">
      <w:pPr>
        <w:pStyle w:val="1"/>
      </w:pPr>
      <w:bookmarkStart w:id="35" w:name="_Toc66271374"/>
      <w:r w:rsidRPr="002119FC">
        <w:lastRenderedPageBreak/>
        <w:t>4. </w:t>
      </w:r>
      <w:bookmarkEnd w:id="27"/>
      <w:bookmarkEnd w:id="28"/>
      <w:r w:rsidRPr="002119FC">
        <w:t>П</w:t>
      </w:r>
      <w:r w:rsidRPr="002119FC">
        <w:rPr>
          <w:shd w:val="clear" w:color="auto" w:fill="FFFFFF"/>
        </w:rPr>
        <w:t>еречень координат характерных точек границ зон планируемого размещения линейных объектов, подлежащих реконструкции в связи с изменением их местоположения</w:t>
      </w:r>
      <w:r w:rsidRPr="002119FC">
        <w:t>.</w:t>
      </w:r>
      <w:bookmarkEnd w:id="29"/>
      <w:bookmarkEnd w:id="30"/>
      <w:bookmarkEnd w:id="31"/>
      <w:bookmarkEnd w:id="32"/>
      <w:bookmarkEnd w:id="33"/>
      <w:bookmarkEnd w:id="34"/>
      <w:bookmarkEnd w:id="35"/>
    </w:p>
    <w:p w:rsidR="00F73EBF" w:rsidRPr="00F73EBF" w:rsidRDefault="00F73EBF" w:rsidP="00F73EBF">
      <w:pPr>
        <w:ind w:firstLine="709"/>
        <w:rPr>
          <w:rFonts w:ascii="Times New Roman" w:hAnsi="Times New Roman" w:cs="Times New Roman"/>
          <w:sz w:val="32"/>
          <w:szCs w:val="28"/>
        </w:rPr>
      </w:pPr>
      <w:r w:rsidRPr="00F73EBF">
        <w:rPr>
          <w:rFonts w:ascii="Times New Roman" w:hAnsi="Times New Roman" w:cs="Times New Roman"/>
          <w:sz w:val="24"/>
          <w:szCs w:val="28"/>
        </w:rPr>
        <w:t xml:space="preserve">В границах разработки проекта планировки территории отсутствуют </w:t>
      </w:r>
      <w:r w:rsidRPr="00F73EBF">
        <w:rPr>
          <w:rFonts w:ascii="Times New Roman" w:hAnsi="Times New Roman" w:cs="Times New Roman"/>
          <w:color w:val="2D2D2D"/>
          <w:spacing w:val="2"/>
          <w:sz w:val="24"/>
          <w:szCs w:val="28"/>
          <w:shd w:val="clear" w:color="auto" w:fill="FFFFFF"/>
        </w:rPr>
        <w:t>границы зон планируемого размещения линейных объектов, подлежащих реконструкции в связи с изменением их местоположения</w:t>
      </w:r>
      <w:r w:rsidRPr="00F73EBF">
        <w:rPr>
          <w:rFonts w:ascii="Times New Roman" w:hAnsi="Times New Roman" w:cs="Times New Roman"/>
          <w:sz w:val="24"/>
          <w:szCs w:val="28"/>
        </w:rPr>
        <w:t>.</w:t>
      </w:r>
    </w:p>
    <w:p w:rsidR="00F73EBF" w:rsidRPr="00AA7804" w:rsidRDefault="00F73EBF" w:rsidP="00F73EBF">
      <w:pPr>
        <w:pStyle w:val="1"/>
      </w:pPr>
      <w:bookmarkStart w:id="36" w:name="_Toc528678170"/>
      <w:bookmarkStart w:id="37" w:name="_Toc531422136"/>
      <w:bookmarkStart w:id="38" w:name="_Toc531424125"/>
      <w:bookmarkStart w:id="39" w:name="_Toc9070745"/>
      <w:bookmarkStart w:id="40" w:name="_Toc58490205"/>
      <w:bookmarkStart w:id="41" w:name="_Toc66271375"/>
      <w:r w:rsidRPr="00AA7804">
        <w:t xml:space="preserve">5. Предельные параметры разрешенного строительства, реконструкции объектов капитального строительства, входящих в состав линейных объектов в </w:t>
      </w:r>
      <w:r w:rsidRPr="001302DA">
        <w:t>границах</w:t>
      </w:r>
      <w:r w:rsidRPr="00AA7804">
        <w:t xml:space="preserve"> зон их планируемого размещения.</w:t>
      </w:r>
      <w:bookmarkEnd w:id="36"/>
      <w:bookmarkEnd w:id="37"/>
      <w:bookmarkEnd w:id="38"/>
      <w:bookmarkEnd w:id="39"/>
      <w:bookmarkEnd w:id="40"/>
      <w:bookmarkEnd w:id="41"/>
    </w:p>
    <w:p w:rsidR="00F73EBF" w:rsidRPr="00F73EBF" w:rsidRDefault="00F73EBF" w:rsidP="00F73EBF">
      <w:pPr>
        <w:spacing w:after="0"/>
        <w:ind w:firstLine="709"/>
        <w:jc w:val="both"/>
        <w:rPr>
          <w:rFonts w:ascii="Times New Roman" w:hAnsi="Times New Roman" w:cs="Times New Roman"/>
          <w:sz w:val="24"/>
        </w:rPr>
      </w:pPr>
      <w:r w:rsidRPr="00F73EBF">
        <w:rPr>
          <w:rFonts w:ascii="Times New Roman" w:hAnsi="Times New Roman" w:cs="Times New Roman"/>
          <w:sz w:val="24"/>
        </w:rPr>
        <w:t>В составе линейных объектов в границах зон их планируемого размещения отсутствуют объекты капитального строительства, входящие в состав линейных объектов.</w:t>
      </w:r>
    </w:p>
    <w:p w:rsidR="00F73EBF" w:rsidRPr="00F73EBF" w:rsidRDefault="00F73EBF" w:rsidP="00F73EBF">
      <w:pPr>
        <w:spacing w:after="0"/>
        <w:ind w:firstLine="709"/>
        <w:jc w:val="both"/>
        <w:rPr>
          <w:rFonts w:ascii="Times New Roman" w:hAnsi="Times New Roman" w:cs="Times New Roman"/>
          <w:sz w:val="24"/>
        </w:rPr>
      </w:pPr>
      <w:r w:rsidRPr="00F73EBF">
        <w:rPr>
          <w:rFonts w:ascii="Times New Roman" w:hAnsi="Times New Roman" w:cs="Times New Roman"/>
          <w:sz w:val="24"/>
        </w:rPr>
        <w:t>Информация о пересекаемых территориальных зонах. В соответствии с Правилами землепользования и застройки межселенной территории Ханты-Мансийского района, утвержденными Решением Думы Ханты-Мансийского района № 284 от 21.03.2008 № 284 (с изменениями № 496 от 26.09.2019), территория размещения линейных объектов относится к территориальной зоне – зона земель лесного фонда (ЛФ).</w:t>
      </w:r>
    </w:p>
    <w:p w:rsidR="00F73EBF" w:rsidRPr="00F73EBF" w:rsidRDefault="00F73EBF" w:rsidP="00F73EBF">
      <w:pPr>
        <w:spacing w:after="0"/>
        <w:ind w:firstLine="709"/>
        <w:jc w:val="both"/>
        <w:rPr>
          <w:rFonts w:ascii="Times New Roman" w:hAnsi="Times New Roman" w:cs="Times New Roman"/>
          <w:sz w:val="24"/>
        </w:rPr>
      </w:pPr>
      <w:r w:rsidRPr="00F73EBF">
        <w:rPr>
          <w:rFonts w:ascii="Times New Roman" w:hAnsi="Times New Roman" w:cs="Times New Roman"/>
          <w:sz w:val="24"/>
        </w:rPr>
        <w:t>Для данной территориальной зоны градостроительные регламенты не устанавливаются согласно части 6 статьи 36 Градостроительного кодекса РФ.</w:t>
      </w:r>
    </w:p>
    <w:p w:rsidR="00F73EBF" w:rsidRDefault="00F73EBF" w:rsidP="00F73EBF">
      <w:pPr>
        <w:spacing w:after="0"/>
        <w:ind w:firstLine="709"/>
        <w:jc w:val="both"/>
        <w:rPr>
          <w:rFonts w:ascii="Times New Roman" w:hAnsi="Times New Roman" w:cs="Times New Roman"/>
          <w:sz w:val="24"/>
        </w:rPr>
      </w:pPr>
      <w:r w:rsidRPr="00F73EBF">
        <w:rPr>
          <w:rFonts w:ascii="Times New Roman" w:hAnsi="Times New Roman" w:cs="Times New Roman"/>
          <w:sz w:val="24"/>
        </w:rPr>
        <w:t>Граница территории, в отношении которой осуществляется подготовка проекта планировки расположена на землях Самаровского лесничества, Правдинского участкового лесничества. Регламент этой территории устанавливается в соответствии с Лесохозяйственным регламентом Самаровского лесничества, утвержденным Приказом Департамента недропользования и природных ресурсов Ханты-Мансийского автономного округа – Югры от 02.03.2018 № 13-нп.</w:t>
      </w:r>
    </w:p>
    <w:p w:rsidR="00F73EBF" w:rsidRPr="00D70D59" w:rsidRDefault="00F73EBF" w:rsidP="00F73EBF">
      <w:pPr>
        <w:spacing w:after="0"/>
        <w:ind w:firstLine="709"/>
        <w:jc w:val="both"/>
        <w:rPr>
          <w:rFonts w:ascii="yandex-sans" w:hAnsi="yandex-sans"/>
          <w:color w:val="000000"/>
          <w:sz w:val="23"/>
          <w:szCs w:val="23"/>
        </w:rPr>
      </w:pPr>
    </w:p>
    <w:p w:rsidR="00F73EBF" w:rsidRDefault="00F73EBF" w:rsidP="00F73EBF">
      <w:pPr>
        <w:pStyle w:val="2"/>
      </w:pPr>
      <w:bookmarkStart w:id="42" w:name="_Toc66271376"/>
      <w:r>
        <w:t>5.1. Нормативы, параметры и сроки использования лесов для строительства, реконструкции, эксплуатации линейных объектов.</w:t>
      </w:r>
      <w:bookmarkEnd w:id="42"/>
    </w:p>
    <w:p w:rsidR="00F73EBF" w:rsidRDefault="00F73EBF" w:rsidP="00F73EBF">
      <w:pPr>
        <w:pStyle w:val="ac"/>
      </w:pPr>
      <w:r>
        <w:t xml:space="preserve">Использование лесов для строительства, реконструкции и эксплуатации линейных объектов определяется статьей 45 Лесного кодекса РФ и Правилами использования лесов для строительства, реконструкции линейных объектов, утвержденными приказом Рослесхоза от 10 июня 2011 года № 223 «Об утверждении Правил использования лесов для строительства, реконструкции, эксплуатации линейных объектов» (далее – Правила использования лесов для строительства, реконструкции, эксплуатации линейных объектов). </w:t>
      </w:r>
    </w:p>
    <w:p w:rsidR="00F73EBF" w:rsidRDefault="00F73EBF" w:rsidP="00F73EBF">
      <w:pPr>
        <w:pStyle w:val="ac"/>
      </w:pPr>
      <w:r>
        <w:t>Использование лесов для строительства, реконструкции, эксплуатации линейных объектов осуществляется с предоставлением или без предоставления лесного участка, установлением или без установления сервитута, публичного сервитута.</w:t>
      </w:r>
    </w:p>
    <w:p w:rsidR="00F73EBF" w:rsidRDefault="00F73EBF" w:rsidP="00F73EBF">
      <w:pPr>
        <w:pStyle w:val="ac"/>
      </w:pPr>
      <w:r>
        <w:t xml:space="preserve">Лесные участки, находящиеся в государственной собственности, предоставляются гражданам, юридическим лицам в соответствии со статьей 9 Лесного кодекса РФ для строительства линейных объектов. </w:t>
      </w:r>
    </w:p>
    <w:p w:rsidR="00F73EBF" w:rsidRDefault="00F73EBF" w:rsidP="00F73EBF">
      <w:pPr>
        <w:pStyle w:val="ac"/>
      </w:pPr>
      <w:r>
        <w:t>Лесные участки, которые находятся в государственной собственности и на которых расположены линейные объекты, предоставляются на правах, предусмотренных статьей 9 Лесного кодекса РФ, гражданам, юридическим лицам, имеющим в собственности, безвозмездном пользовании, аренде, хозяйственном ведении или оперативном управлении такие линейные объекты.</w:t>
      </w:r>
    </w:p>
    <w:p w:rsidR="00F73EBF" w:rsidRDefault="00F73EBF" w:rsidP="00F73EBF">
      <w:pPr>
        <w:pStyle w:val="ac"/>
      </w:pPr>
      <w:r>
        <w:t xml:space="preserve">Размещение линейных объектов допускается в защитных лесах и на особо защитных участках лесов Лесничества с учетом требований пункта 3 части 4 статьи 114, части 2 статьи 115, пункта 3 части 4 статьи 119 Лесного кодекса РФ. </w:t>
      </w:r>
    </w:p>
    <w:p w:rsidR="00F73EBF" w:rsidRDefault="00F73EBF" w:rsidP="00F73EBF">
      <w:pPr>
        <w:pStyle w:val="ac"/>
      </w:pPr>
      <w:r>
        <w:t xml:space="preserve">Строительство, реконструкция и эксплуатация объектов, не связанных с созданием лесной инфраструктуры, на землях лесного фонда допускается для использования линий электропередачи, линий связи, дорог, трубопроводов и других линейных объектов, а также сооружений, являющихся неотъемлемой технологической частью указанных объектов </w:t>
      </w:r>
      <w:r>
        <w:lastRenderedPageBreak/>
        <w:t xml:space="preserve">(далее – линейные объекты), согласно Перечню объектов, не связанных с созданием лесной инфраструктуры для защитных лесов, эксплуатационных лесов и резервных лесов. </w:t>
      </w:r>
    </w:p>
    <w:p w:rsidR="00F73EBF" w:rsidRDefault="00F73EBF" w:rsidP="00F73EBF">
      <w:pPr>
        <w:pStyle w:val="ac"/>
      </w:pPr>
      <w:r>
        <w:t xml:space="preserve">В защитных лесах предусмотренные частью 5 статьи 21 Лесного кодекса РФ выборочные рубки и сплошные рубки деревьев, кустарников, лиан допускаются в случаях, если строительство, реконструкция, эксплуатация объектов, не связанных с созданием лесной инфраструктуры, для целей, предусмотренных пунктами 1 – 4 части 1 статьи 21 Лесного кодекса РФ, не запрещены или не ограничены в соответствии с законодательством Российской Федерации. </w:t>
      </w:r>
    </w:p>
    <w:p w:rsidR="00F73EBF" w:rsidRDefault="00F73EBF" w:rsidP="00F73EBF">
      <w:pPr>
        <w:pStyle w:val="ac"/>
      </w:pPr>
      <w:r>
        <w:t xml:space="preserve">В целях, предусмотренных пунктами 1 – 4 части 1 статьи 21 Лесного кодекса РФ (в том числе в целях проведения аварийно-спасательных работ), допускаются выборочные рубки и сплошные рубки деревьев, кустарников, лиан, в том числе в охранных зонах и санитарно-защитных зонах, предназначенных для обеспечения безопасности граждан и создания необходимых условий для эксплуатации соответствующих объектов. </w:t>
      </w:r>
    </w:p>
    <w:p w:rsidR="00F73EBF" w:rsidRDefault="00F73EBF" w:rsidP="00F73EBF">
      <w:pPr>
        <w:pStyle w:val="ac"/>
      </w:pPr>
      <w:r>
        <w:t xml:space="preserve">Право собственности на древесину, которая получена при использовании лесов, расположенных на землях лесного фонда, в соответствии со статьей 45 Лесного кодекса РФ, принадлежит Российской Федерации. </w:t>
      </w:r>
    </w:p>
    <w:p w:rsidR="00F73EBF" w:rsidRDefault="00F73EBF" w:rsidP="00F73EBF">
      <w:pPr>
        <w:pStyle w:val="ac"/>
      </w:pPr>
      <w:r>
        <w:t xml:space="preserve">Граждане и юридические лица, осуществляющие соответствующее использование лесов, обязаны соблюдать правовой режим охранных зон, устанавливаемых согласно законодательству Российской Федерации. </w:t>
      </w:r>
    </w:p>
    <w:p w:rsidR="00F73EBF" w:rsidRDefault="00F73EBF" w:rsidP="00F73EBF">
      <w:pPr>
        <w:pStyle w:val="ac"/>
      </w:pPr>
      <w:r>
        <w:t xml:space="preserve">Осуществление строительства, реконструкции и эксплуатации линейных объектов должно исключать развитие эрозионных процессов на занятой и прилегающей территории. </w:t>
      </w:r>
    </w:p>
    <w:p w:rsidR="00F73EBF" w:rsidRPr="00F73EBF" w:rsidRDefault="00F73EBF" w:rsidP="00F73EBF">
      <w:pPr>
        <w:pStyle w:val="ac"/>
      </w:pPr>
      <w:r w:rsidRPr="00F73EBF">
        <w:t xml:space="preserve">Земли, которые использовались для строительства, реконструкции и (или) эксплуатации объектов, не связанных с созданием лесной инфраструктуры, подлежат рекультивации. </w:t>
      </w:r>
    </w:p>
    <w:p w:rsidR="00F73EBF" w:rsidRPr="00F73EBF" w:rsidRDefault="00F73EBF" w:rsidP="00F73EBF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73EBF">
        <w:rPr>
          <w:rFonts w:ascii="Times New Roman" w:hAnsi="Times New Roman" w:cs="Times New Roman"/>
          <w:b/>
          <w:sz w:val="24"/>
          <w:szCs w:val="24"/>
        </w:rPr>
        <w:t>Ограничения по использованию лесов</w:t>
      </w:r>
      <w:r w:rsidRPr="00F73EBF">
        <w:rPr>
          <w:rFonts w:ascii="Times New Roman" w:hAnsi="Times New Roman" w:cs="Times New Roman"/>
          <w:sz w:val="24"/>
          <w:szCs w:val="24"/>
        </w:rPr>
        <w:t xml:space="preserve"> </w:t>
      </w:r>
      <w:r w:rsidRPr="00F73EBF">
        <w:rPr>
          <w:rFonts w:ascii="Times New Roman" w:hAnsi="Times New Roman" w:cs="Times New Roman"/>
          <w:b/>
          <w:sz w:val="24"/>
          <w:szCs w:val="24"/>
        </w:rPr>
        <w:t>для защитных лесов</w:t>
      </w:r>
      <w:r w:rsidRPr="00F73EBF">
        <w:rPr>
          <w:rFonts w:ascii="Times New Roman" w:hAnsi="Times New Roman" w:cs="Times New Roman"/>
          <w:sz w:val="24"/>
          <w:szCs w:val="24"/>
        </w:rPr>
        <w:t>, выполняющих функции защиты природных и иных объектов:</w:t>
      </w:r>
    </w:p>
    <w:p w:rsidR="00F73EBF" w:rsidRPr="00F73EBF" w:rsidRDefault="00F73EBF" w:rsidP="00F73EBF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73EBF">
        <w:rPr>
          <w:rFonts w:ascii="Times New Roman" w:hAnsi="Times New Roman" w:cs="Times New Roman"/>
          <w:sz w:val="24"/>
          <w:szCs w:val="24"/>
          <w:u w:val="single"/>
        </w:rPr>
        <w:t>Запрещается:</w:t>
      </w:r>
      <w:r w:rsidRPr="00F73EB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73EBF" w:rsidRPr="00F73EBF" w:rsidRDefault="00F73EBF" w:rsidP="00F73EBF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73EBF">
        <w:rPr>
          <w:rFonts w:ascii="Times New Roman" w:hAnsi="Times New Roman" w:cs="Times New Roman"/>
          <w:sz w:val="24"/>
          <w:szCs w:val="24"/>
        </w:rPr>
        <w:t xml:space="preserve">осуществление деятельности, несовместимой с их целевым назначением и полезными функциями (часть 6 статьи 111 Лесного кодекса РФ); </w:t>
      </w:r>
    </w:p>
    <w:p w:rsidR="00F73EBF" w:rsidRPr="00F73EBF" w:rsidRDefault="00F73EBF" w:rsidP="00F73EBF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73EBF">
        <w:rPr>
          <w:rFonts w:ascii="Times New Roman" w:hAnsi="Times New Roman" w:cs="Times New Roman"/>
          <w:sz w:val="24"/>
          <w:szCs w:val="24"/>
        </w:rPr>
        <w:t xml:space="preserve">создание лесоперерабатывающей инфраструктуры (часть 2 статьи 14 Лесного кодекса РФ); </w:t>
      </w:r>
    </w:p>
    <w:p w:rsidR="00F73EBF" w:rsidRPr="00F73EBF" w:rsidRDefault="00F73EBF" w:rsidP="00F73EBF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73EBF">
        <w:rPr>
          <w:rFonts w:ascii="Times New Roman" w:hAnsi="Times New Roman" w:cs="Times New Roman"/>
          <w:sz w:val="24"/>
          <w:szCs w:val="24"/>
        </w:rPr>
        <w:t xml:space="preserve">в ценных лесах строительство и эксплуатация объектов капитального строительства, за исключением линейных объектов и гидротехнических сооружений (часть 2 статьи 115 Лесного кодекса РФ). </w:t>
      </w:r>
    </w:p>
    <w:p w:rsidR="00F73EBF" w:rsidRPr="00F73EBF" w:rsidRDefault="00F73EBF" w:rsidP="00F73EBF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73EBF">
        <w:rPr>
          <w:rFonts w:ascii="Times New Roman" w:hAnsi="Times New Roman" w:cs="Times New Roman"/>
          <w:sz w:val="24"/>
          <w:szCs w:val="24"/>
          <w:u w:val="single"/>
        </w:rPr>
        <w:t>Ограничения:</w:t>
      </w:r>
      <w:r w:rsidRPr="00F73EB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73EBF" w:rsidRPr="00F73EBF" w:rsidRDefault="00F73EBF" w:rsidP="00F73EBF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73EBF">
        <w:rPr>
          <w:rFonts w:ascii="Times New Roman" w:hAnsi="Times New Roman" w:cs="Times New Roman"/>
          <w:sz w:val="24"/>
          <w:szCs w:val="24"/>
        </w:rPr>
        <w:t xml:space="preserve">проведение сплошных рубок в защитных лесах осуществляется в случаях, предусмотренных частью 5.1 статьи 21 Лесного кодекса РФ, и в случаях, если выборочные рубки не обеспечивают замену лесных насаждений, утрачивающих свои средообразующие, водоохранные, санитарно-гигиенические, оздоровительные и иные полезные функции, на лесные насаждения, обеспечивающие сохранение целевого назначения защитных лесов и выполняемых ими полезных функций, если иное не установлено Лесным кодексом РФ; выборочные рубки лесных насаждений ведутся очень слабой, слабой и умеренной интенсивности, за исключением санитарных рубок, интенсивность которых для вырубки погибших, поврежденных и малоценных насаждений может достигать очень высокой интенсивности, устанавливаемой Правилами заготовки древесины. </w:t>
      </w:r>
    </w:p>
    <w:p w:rsidR="00F73EBF" w:rsidRPr="00F73EBF" w:rsidRDefault="00F73EBF" w:rsidP="00F73EBF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73EBF">
        <w:rPr>
          <w:rFonts w:ascii="Times New Roman" w:hAnsi="Times New Roman" w:cs="Times New Roman"/>
          <w:sz w:val="24"/>
          <w:szCs w:val="24"/>
          <w:u w:val="single"/>
        </w:rPr>
        <w:t>Допускается:</w:t>
      </w:r>
      <w:r w:rsidRPr="00F73EB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73EBF" w:rsidRPr="00F73EBF" w:rsidRDefault="00F73EBF" w:rsidP="00F73EBF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73EBF">
        <w:rPr>
          <w:rFonts w:ascii="Times New Roman" w:hAnsi="Times New Roman" w:cs="Times New Roman"/>
          <w:sz w:val="24"/>
          <w:szCs w:val="24"/>
        </w:rPr>
        <w:t>в ценных лесах строительство, реконструкция и эксплуатация объектов капитального строительства, связанных с выполнением работ по геологическому изучению и разработкой месторождений углеводородного сырья, в отношении которых лицензии на пользование недрами получены до 31 декабря 2010 года, на срок, не превышающий срока действия таких лицензий (пункт 2 статьи 8.2 Федеральный закон от 4 декабря 2006 года № 201-ФЗ «О введении в действие Лесного кодекса Российской Федерации»).</w:t>
      </w:r>
    </w:p>
    <w:p w:rsidR="00F73EBF" w:rsidRPr="00F73EBF" w:rsidRDefault="00F73EBF" w:rsidP="00F73EBF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73EBF">
        <w:rPr>
          <w:rFonts w:ascii="Times New Roman" w:hAnsi="Times New Roman" w:cs="Times New Roman"/>
          <w:b/>
          <w:sz w:val="24"/>
          <w:szCs w:val="24"/>
        </w:rPr>
        <w:lastRenderedPageBreak/>
        <w:t>Ограничения по видам использования лесов для строительства, реконструкции, эксплуатация линейных объектов</w:t>
      </w:r>
      <w:r w:rsidRPr="00F73EBF">
        <w:rPr>
          <w:rFonts w:ascii="Times New Roman" w:hAnsi="Times New Roman" w:cs="Times New Roman"/>
          <w:sz w:val="24"/>
          <w:szCs w:val="24"/>
        </w:rPr>
        <w:t xml:space="preserve"> (ограничения при строительстве, реконструкции, эксплуатации линий электропередачи, линий связи, дорог, трубопроводов и других линейных объектов установлены Правилами использования лесов для строительства, реконструкции, эксплуатации линейных объектов):</w:t>
      </w:r>
    </w:p>
    <w:p w:rsidR="00F73EBF" w:rsidRPr="00F73EBF" w:rsidRDefault="00F73EBF" w:rsidP="00F73EBF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73EBF">
        <w:rPr>
          <w:rFonts w:ascii="Times New Roman" w:hAnsi="Times New Roman" w:cs="Times New Roman"/>
          <w:sz w:val="24"/>
          <w:szCs w:val="24"/>
          <w:u w:val="single"/>
        </w:rPr>
        <w:t>Не допускается:</w:t>
      </w:r>
      <w:r w:rsidRPr="00F73EB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73EBF" w:rsidRPr="00F73EBF" w:rsidRDefault="00F73EBF" w:rsidP="00F73EBF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73EBF">
        <w:rPr>
          <w:rFonts w:ascii="Times New Roman" w:hAnsi="Times New Roman" w:cs="Times New Roman"/>
          <w:sz w:val="24"/>
          <w:szCs w:val="24"/>
        </w:rPr>
        <w:t xml:space="preserve">повреждение лесных насаждений, растительного покрова и почв за пределами предоставленного лесного участка и соответствующей охранной зоны; </w:t>
      </w:r>
    </w:p>
    <w:p w:rsidR="00F73EBF" w:rsidRPr="00F73EBF" w:rsidRDefault="00F73EBF" w:rsidP="00F73EBF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73EBF">
        <w:rPr>
          <w:rFonts w:ascii="Times New Roman" w:hAnsi="Times New Roman" w:cs="Times New Roman"/>
          <w:sz w:val="24"/>
          <w:szCs w:val="24"/>
        </w:rPr>
        <w:t xml:space="preserve">захламление прилегающих территорий за пределами предоставленного лесного участка строительным и бытовым мусором, отходами древесины, иными видами отходов; </w:t>
      </w:r>
    </w:p>
    <w:p w:rsidR="00F73EBF" w:rsidRPr="00F73EBF" w:rsidRDefault="00F73EBF" w:rsidP="00F73EBF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73EBF">
        <w:rPr>
          <w:rFonts w:ascii="Times New Roman" w:hAnsi="Times New Roman" w:cs="Times New Roman"/>
          <w:sz w:val="24"/>
          <w:szCs w:val="24"/>
        </w:rPr>
        <w:t xml:space="preserve">загрязнение площади предоставленного лесного участка и территории за его пределами химическими и радиоактивными веществами; </w:t>
      </w:r>
    </w:p>
    <w:p w:rsidR="00F73EBF" w:rsidRPr="00F73EBF" w:rsidRDefault="00F73EBF" w:rsidP="00F73EBF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73EBF">
        <w:rPr>
          <w:rFonts w:ascii="Times New Roman" w:hAnsi="Times New Roman" w:cs="Times New Roman"/>
          <w:sz w:val="24"/>
          <w:szCs w:val="24"/>
        </w:rPr>
        <w:t xml:space="preserve">проезд транспортных средств и иных механизмов по произвольным, неустановленным маршрутам за пределами предоставленного лесного участка и соответствующей охранной зоны. </w:t>
      </w:r>
    </w:p>
    <w:p w:rsidR="00F73EBF" w:rsidRPr="00F73EBF" w:rsidRDefault="00F73EBF" w:rsidP="00F73EBF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73EBF">
        <w:rPr>
          <w:rFonts w:ascii="Times New Roman" w:hAnsi="Times New Roman" w:cs="Times New Roman"/>
          <w:sz w:val="24"/>
          <w:szCs w:val="24"/>
          <w:u w:val="single"/>
        </w:rPr>
        <w:t>Ограничение:</w:t>
      </w:r>
      <w:r w:rsidRPr="00F73EB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73EBF" w:rsidRDefault="00F73EBF" w:rsidP="00F73EBF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73EBF">
        <w:rPr>
          <w:rFonts w:ascii="Times New Roman" w:hAnsi="Times New Roman" w:cs="Times New Roman"/>
          <w:sz w:val="24"/>
          <w:szCs w:val="24"/>
        </w:rPr>
        <w:t>при использовании лесов в целях строительства, реконструкции и эксплуатации автомобильных и железных дорог, случаи, вызывающие нарушение поверхностного и внутрипочвенного стока вод, затопление или заболачивание лесных участков вдоль дорог (пункт 6 Правил использования лесов для строительства, реконструкции, эксплуатации линейных объектов).</w:t>
      </w:r>
    </w:p>
    <w:p w:rsidR="00F73EBF" w:rsidRPr="00AA7804" w:rsidRDefault="00F73EBF" w:rsidP="00F73EBF">
      <w:pPr>
        <w:pStyle w:val="1"/>
        <w:rPr>
          <w:shd w:val="clear" w:color="auto" w:fill="FFFFFF"/>
        </w:rPr>
      </w:pPr>
      <w:bookmarkStart w:id="43" w:name="_Toc531422137"/>
      <w:bookmarkStart w:id="44" w:name="_Toc531424126"/>
      <w:bookmarkStart w:id="45" w:name="_Toc9070746"/>
      <w:bookmarkStart w:id="46" w:name="_Toc58490206"/>
      <w:bookmarkStart w:id="47" w:name="_Toc66271377"/>
      <w:r w:rsidRPr="00AA7804">
        <w:t>6. И</w:t>
      </w:r>
      <w:r w:rsidRPr="00AA7804">
        <w:rPr>
          <w:shd w:val="clear" w:color="auto" w:fill="FFFFFF"/>
        </w:rPr>
        <w:t>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линейного объекта.</w:t>
      </w:r>
      <w:bookmarkEnd w:id="43"/>
      <w:bookmarkEnd w:id="44"/>
      <w:bookmarkEnd w:id="45"/>
      <w:bookmarkEnd w:id="46"/>
      <w:bookmarkEnd w:id="47"/>
    </w:p>
    <w:p w:rsidR="00F73EBF" w:rsidRPr="00F73EBF" w:rsidRDefault="00F73EBF" w:rsidP="00F73EBF">
      <w:pPr>
        <w:ind w:firstLine="709"/>
        <w:jc w:val="both"/>
        <w:rPr>
          <w:rFonts w:ascii="Times New Roman" w:hAnsi="Times New Roman" w:cs="Times New Roman"/>
          <w:sz w:val="24"/>
          <w:shd w:val="clear" w:color="auto" w:fill="FFFFFF"/>
        </w:rPr>
      </w:pPr>
      <w:r w:rsidRPr="00F73EBF">
        <w:rPr>
          <w:rFonts w:ascii="Times New Roman" w:hAnsi="Times New Roman" w:cs="Times New Roman"/>
          <w:sz w:val="24"/>
        </w:rPr>
        <w:t xml:space="preserve">В границах территории, в отношении которой осуществляется подготовка проекта планировки отсутствуют </w:t>
      </w:r>
      <w:r w:rsidRPr="00F73EBF">
        <w:rPr>
          <w:rFonts w:ascii="Times New Roman" w:hAnsi="Times New Roman" w:cs="Times New Roman"/>
          <w:sz w:val="24"/>
          <w:shd w:val="clear" w:color="auto" w:fill="FFFFFF"/>
        </w:rPr>
        <w:t>сохраняемые объекты капитального строительства (здание, строение, сооружение, объекты, строительство которых не завершено), существующие и строящиеся на момент подготовки проекта планировки территории, а также объекты капитального строительства, планируемые к строительству в соответствии с ранее утвержденной документацией по планировке территории.</w:t>
      </w:r>
    </w:p>
    <w:p w:rsidR="00F73EBF" w:rsidRDefault="00F73EBF" w:rsidP="00F73EBF">
      <w:pPr>
        <w:pStyle w:val="1"/>
      </w:pPr>
      <w:bookmarkStart w:id="48" w:name="_Toc498395022"/>
      <w:bookmarkStart w:id="49" w:name="_Toc531422138"/>
      <w:bookmarkStart w:id="50" w:name="_Toc531424127"/>
      <w:bookmarkStart w:id="51" w:name="_Toc9070747"/>
      <w:bookmarkStart w:id="52" w:name="_Toc58490207"/>
      <w:bookmarkStart w:id="53" w:name="_Toc66271378"/>
      <w:r w:rsidRPr="00AA7804">
        <w:rPr>
          <w:szCs w:val="24"/>
        </w:rPr>
        <w:t xml:space="preserve">7. </w:t>
      </w:r>
      <w:bookmarkEnd w:id="48"/>
      <w:r w:rsidRPr="00AA7804">
        <w:t xml:space="preserve">Информация о необходимости осуществления мероприятий по сохранению объектов культурного наследия от возможного негативного воздействия в связи с </w:t>
      </w:r>
      <w:r w:rsidRPr="000554BF">
        <w:t>размещением</w:t>
      </w:r>
      <w:r w:rsidRPr="00AA7804">
        <w:t xml:space="preserve"> линейных объектов.</w:t>
      </w:r>
      <w:bookmarkEnd w:id="49"/>
      <w:bookmarkEnd w:id="50"/>
      <w:bookmarkEnd w:id="51"/>
      <w:bookmarkEnd w:id="52"/>
      <w:bookmarkEnd w:id="53"/>
    </w:p>
    <w:p w:rsidR="00F73EBF" w:rsidRPr="00F73EBF" w:rsidRDefault="00F73EBF" w:rsidP="00F73EBF">
      <w:pPr>
        <w:ind w:firstLine="709"/>
        <w:jc w:val="both"/>
        <w:rPr>
          <w:rFonts w:ascii="Times New Roman" w:hAnsi="Times New Roman" w:cs="Times New Roman"/>
          <w:sz w:val="24"/>
        </w:rPr>
      </w:pPr>
      <w:r w:rsidRPr="00F73EBF">
        <w:rPr>
          <w:rFonts w:ascii="Times New Roman" w:hAnsi="Times New Roman" w:cs="Times New Roman"/>
          <w:sz w:val="24"/>
        </w:rPr>
        <w:t>В границах территории, в отношении которой осуществляется подготовка проекта планировки отсутствуют объекты культурного наследия.</w:t>
      </w:r>
    </w:p>
    <w:p w:rsidR="00F73EBF" w:rsidRPr="00AE0EE0" w:rsidRDefault="00F73EBF" w:rsidP="00F73EBF">
      <w:pPr>
        <w:pStyle w:val="1"/>
        <w:rPr>
          <w:rStyle w:val="10"/>
          <w:rFonts w:eastAsia="GOST Type AU"/>
          <w:b/>
          <w:bCs/>
          <w:kern w:val="0"/>
        </w:rPr>
      </w:pPr>
      <w:bookmarkStart w:id="54" w:name="_Toc531422139"/>
      <w:bookmarkStart w:id="55" w:name="_Toc531424128"/>
      <w:bookmarkStart w:id="56" w:name="_Toc9070748"/>
      <w:bookmarkStart w:id="57" w:name="_Toc58490208"/>
      <w:bookmarkStart w:id="58" w:name="_Toc66271379"/>
      <w:r w:rsidRPr="00AE0EE0">
        <w:rPr>
          <w:rStyle w:val="10"/>
          <w:rFonts w:eastAsia="GOST Type AU"/>
          <w:b/>
          <w:kern w:val="0"/>
        </w:rPr>
        <w:t>8. Информация о необходимости осуществления мероприятий по охране окружающей среды.</w:t>
      </w:r>
      <w:bookmarkEnd w:id="54"/>
      <w:bookmarkEnd w:id="55"/>
      <w:bookmarkEnd w:id="56"/>
      <w:bookmarkEnd w:id="57"/>
      <w:bookmarkEnd w:id="58"/>
    </w:p>
    <w:p w:rsidR="00F73EBF" w:rsidRDefault="00F73EBF" w:rsidP="00F73EBF">
      <w:pPr>
        <w:pStyle w:val="2"/>
      </w:pPr>
      <w:bookmarkStart w:id="59" w:name="_Toc9070749"/>
      <w:bookmarkStart w:id="60" w:name="_Toc58490209"/>
      <w:bookmarkStart w:id="61" w:name="_Toc66271380"/>
      <w:r>
        <w:t>8.1. Мероприятия по охране</w:t>
      </w:r>
      <w:r w:rsidRPr="00A22D42">
        <w:t xml:space="preserve"> атмосферн</w:t>
      </w:r>
      <w:r>
        <w:t>ого</w:t>
      </w:r>
      <w:r w:rsidRPr="00A22D42">
        <w:t xml:space="preserve"> воздух</w:t>
      </w:r>
      <w:r>
        <w:t>а</w:t>
      </w:r>
      <w:r w:rsidRPr="00A22D42">
        <w:t>.</w:t>
      </w:r>
      <w:bookmarkEnd w:id="59"/>
      <w:bookmarkEnd w:id="60"/>
      <w:bookmarkEnd w:id="61"/>
    </w:p>
    <w:p w:rsidR="00F73EBF" w:rsidRPr="00F73EBF" w:rsidRDefault="00F73EBF" w:rsidP="00F73EBF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</w:rPr>
      </w:pPr>
      <w:r w:rsidRPr="00F73EBF">
        <w:rPr>
          <w:rFonts w:ascii="Times New Roman" w:eastAsia="Arial,Italic" w:hAnsi="Times New Roman" w:cs="Times New Roman"/>
          <w:sz w:val="24"/>
        </w:rPr>
        <w:t>На основе проведенных расчетов выбросов ЗВ и расчетов на рассеивание ЗВ в атмосферном воздухе в период строительства мероприятия по охране атмосферного воздуха проводить не требуется в соответствие со ст. 16 Федерального закона от 4 мая 1999 г. № 96-ФЗ «Об охране атмосферного воздуха».</w:t>
      </w:r>
    </w:p>
    <w:p w:rsidR="00F73EBF" w:rsidRPr="00F73EBF" w:rsidRDefault="00F73EBF" w:rsidP="00F73EBF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</w:rPr>
      </w:pPr>
      <w:r w:rsidRPr="00F73EBF">
        <w:rPr>
          <w:rFonts w:ascii="Times New Roman" w:eastAsia="Arial,Italic" w:hAnsi="Times New Roman" w:cs="Times New Roman"/>
          <w:sz w:val="24"/>
        </w:rPr>
        <w:lastRenderedPageBreak/>
        <w:t xml:space="preserve">Мероприятий по охране атмосферного воздуха в период эксплуатации проводить не требуется в соответствие со ст. 16 Федерального закона от 4 мая 1999 г. № 96-ФЗ «Об охране атмосферного воздуха». </w:t>
      </w:r>
    </w:p>
    <w:p w:rsidR="00F73EBF" w:rsidRDefault="00F73EBF" w:rsidP="00F73EBF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</w:rPr>
      </w:pPr>
      <w:r w:rsidRPr="00F73EBF">
        <w:rPr>
          <w:rFonts w:ascii="Times New Roman" w:eastAsia="Arial,Italic" w:hAnsi="Times New Roman" w:cs="Times New Roman"/>
          <w:sz w:val="24"/>
        </w:rPr>
        <w:t>Так как при исправном режиме использования газопровода, выделение загрязняющих веществ в атмосферу незначительно, то мероприятиями по охране атмосферного воздуха в период эксплуатации являются, прежде всего, меры, обеспечивающие безаварийную работу газопровода. Это рациональное размещение отключающих устройств, пассивная и активная защита газопровода от коррозии, контроль сварных стыков физическими методами контроля, испытание газопровода на герметичность и др.</w:t>
      </w:r>
    </w:p>
    <w:p w:rsidR="00F73EBF" w:rsidRPr="00D95EA1" w:rsidRDefault="00F73EBF" w:rsidP="00F73EBF">
      <w:pPr>
        <w:spacing w:after="0"/>
        <w:ind w:firstLine="709"/>
        <w:jc w:val="both"/>
      </w:pPr>
    </w:p>
    <w:p w:rsidR="00F73EBF" w:rsidRPr="00F57898" w:rsidRDefault="00F73EBF" w:rsidP="00F73EBF">
      <w:pPr>
        <w:pStyle w:val="2"/>
      </w:pPr>
      <w:bookmarkStart w:id="62" w:name="_Toc9070750"/>
      <w:bookmarkStart w:id="63" w:name="_Toc58490210"/>
      <w:bookmarkStart w:id="64" w:name="_Toc66271381"/>
      <w:r w:rsidRPr="00F57898">
        <w:t xml:space="preserve">8.2. </w:t>
      </w:r>
      <w:r>
        <w:t>Мероприятия по охране и рациональному использованию з</w:t>
      </w:r>
      <w:r w:rsidRPr="00F57898">
        <w:t>емельны</w:t>
      </w:r>
      <w:r>
        <w:t>х</w:t>
      </w:r>
      <w:r w:rsidRPr="00F57898">
        <w:t xml:space="preserve"> ресурс</w:t>
      </w:r>
      <w:r>
        <w:t>ов и почвенного покрова</w:t>
      </w:r>
      <w:r w:rsidRPr="00F57898">
        <w:t>.</w:t>
      </w:r>
      <w:bookmarkEnd w:id="62"/>
      <w:bookmarkEnd w:id="63"/>
      <w:bookmarkEnd w:id="64"/>
    </w:p>
    <w:p w:rsidR="00F73EBF" w:rsidRPr="00F73EBF" w:rsidRDefault="00F73EBF" w:rsidP="00F73EBF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F73EBF">
        <w:rPr>
          <w:rFonts w:ascii="Times New Roman" w:eastAsia="Arial,Italic" w:hAnsi="Times New Roman" w:cs="Times New Roman"/>
          <w:sz w:val="24"/>
          <w:szCs w:val="24"/>
        </w:rPr>
        <w:t xml:space="preserve">Воздействие на земельные ресурсы заключается в выемке грунта под опоры для прокладки трубопровода. После завершения работ предусматривается благоустройство нарушенной территории: обратная засыпка траншеи и утрамбовка засыпаемого материала и разравнивание в соответствии с прилегающим микрорельефом в соответствии с требованиями раздела 10 СП №45.13330.2012 от 29.12.2011 (Актуализированная редакция СНиП 3.02.01-87 «Земляные сооружения, основания и фундаменты»). </w:t>
      </w:r>
    </w:p>
    <w:p w:rsidR="00F73EBF" w:rsidRPr="00F73EBF" w:rsidRDefault="00F73EBF" w:rsidP="00F73EBF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F73EBF">
        <w:rPr>
          <w:rFonts w:ascii="Times New Roman" w:eastAsia="Arial,Italic" w:hAnsi="Times New Roman" w:cs="Times New Roman"/>
          <w:sz w:val="24"/>
          <w:szCs w:val="24"/>
        </w:rPr>
        <w:t xml:space="preserve">В период эксплуатации в целях предупреждения нарушений, а также обеспечения нормальных условий работы газораспределительной сети устанавливается охранная зона: вдоль трассы наружного газопровода в виде территории, ограниченной условными линиями, проходящими на расстоянии двух метров с каждой стороны газопровода. </w:t>
      </w:r>
    </w:p>
    <w:p w:rsidR="00F73EBF" w:rsidRPr="00F73EBF" w:rsidRDefault="00F73EBF" w:rsidP="00F73EBF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F73EBF">
        <w:rPr>
          <w:rFonts w:ascii="Times New Roman" w:eastAsia="Arial,Italic" w:hAnsi="Times New Roman" w:cs="Times New Roman"/>
          <w:sz w:val="24"/>
          <w:szCs w:val="24"/>
        </w:rPr>
        <w:t xml:space="preserve">Захват части территории земли других собственников производиться не будет. </w:t>
      </w:r>
    </w:p>
    <w:p w:rsidR="00F73EBF" w:rsidRPr="00F73EBF" w:rsidRDefault="00F73EBF" w:rsidP="00F73EBF">
      <w:pPr>
        <w:spacing w:after="0"/>
        <w:ind w:firstLine="709"/>
        <w:jc w:val="both"/>
        <w:rPr>
          <w:rFonts w:ascii="Times New Roman" w:eastAsia="Arial,Italic" w:hAnsi="Times New Roman" w:cs="Times New Roman"/>
          <w:b/>
          <w:sz w:val="24"/>
          <w:szCs w:val="24"/>
        </w:rPr>
      </w:pPr>
      <w:r w:rsidRPr="00F73EBF">
        <w:rPr>
          <w:rFonts w:ascii="Times New Roman" w:eastAsia="Arial,Italic" w:hAnsi="Times New Roman" w:cs="Times New Roman"/>
          <w:b/>
          <w:sz w:val="24"/>
          <w:szCs w:val="24"/>
        </w:rPr>
        <w:t>Мероприятиями по охране и рациональному использованию земельных ресурсов и почвенного покрова являются:</w:t>
      </w:r>
    </w:p>
    <w:p w:rsidR="00F73EBF" w:rsidRPr="00F73EBF" w:rsidRDefault="00F73EBF" w:rsidP="00F73EBF">
      <w:pPr>
        <w:spacing w:after="0"/>
        <w:ind w:left="851" w:hanging="142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F73EBF">
        <w:rPr>
          <w:rFonts w:ascii="Times New Roman" w:eastAsia="Arial,Italic" w:hAnsi="Times New Roman" w:cs="Times New Roman"/>
          <w:b/>
          <w:sz w:val="24"/>
          <w:szCs w:val="24"/>
        </w:rPr>
        <w:t xml:space="preserve">- </w:t>
      </w:r>
      <w:r w:rsidRPr="00F73EBF">
        <w:rPr>
          <w:rFonts w:ascii="Times New Roman" w:eastAsia="Arial,Italic" w:hAnsi="Times New Roman" w:cs="Times New Roman"/>
          <w:sz w:val="24"/>
          <w:szCs w:val="24"/>
        </w:rPr>
        <w:t>уборка территории стройплощадки и прилегающей пятиметровой зоны (согласно п. 6.11, п. 6.2.6 СП 48.13330.2011 «Организация строительства»: «строительный мусор следует вывозить своевременно в сроки и в порядке, установленном органом местного самоуправления»; «Лицо, осуществляющее строительство, должно обеспечивать уборку территории стройплощадки и пятиметровой прилегающей зоны. Бытовой и строительный мусор, а также снег должны вывозиться своевременно в сроки и в порядке, установленном органом местного самоуправления»;</w:t>
      </w:r>
    </w:p>
    <w:p w:rsidR="00F73EBF" w:rsidRPr="00F73EBF" w:rsidRDefault="00F73EBF" w:rsidP="00F73EBF">
      <w:pPr>
        <w:spacing w:after="0"/>
        <w:ind w:left="851" w:hanging="142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F73EBF">
        <w:rPr>
          <w:rFonts w:ascii="Times New Roman" w:eastAsia="Arial,Italic" w:hAnsi="Times New Roman" w:cs="Times New Roman"/>
          <w:sz w:val="24"/>
          <w:szCs w:val="24"/>
        </w:rPr>
        <w:t>- восстановление покрытия, выравнивание рытвин и ям, возникших в результате проведения строительных работ, в соответствии с требованиями п. 6.11, п. 6.2.6 СП 48.13330.2011 «Организация строительства»: При производстве работ, связанных с устройством временных выемок и других препятствий на территории существующей застройки, лицо, осуществляющее строительство, обеспечивает проезд автотранспорта и проход к домам путем устройства мостов, пешеходных мостиков с поручнями, трапов по согласованию с владельцем территории. После окончания работ указанные устройства должны быть вывезены с территории, а благоустройство территории должно быть восстановлено.</w:t>
      </w:r>
    </w:p>
    <w:p w:rsidR="00F73EBF" w:rsidRPr="00F73EBF" w:rsidRDefault="00F73EBF" w:rsidP="00F73EBF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F73EBF">
        <w:rPr>
          <w:rFonts w:ascii="Times New Roman" w:eastAsia="Arial,Italic" w:hAnsi="Times New Roman" w:cs="Times New Roman"/>
          <w:sz w:val="24"/>
          <w:szCs w:val="24"/>
        </w:rPr>
        <w:t>Трасса газопровода проходит по землям лесного фонда. Поэтому на отводимых земельных участках проводится техническая рекультивация. Технический этап рекультивации включает в себя следующие мероприятия:</w:t>
      </w:r>
    </w:p>
    <w:p w:rsidR="00F73EBF" w:rsidRPr="00F73EBF" w:rsidRDefault="00F73EBF" w:rsidP="00F73EBF">
      <w:pPr>
        <w:spacing w:after="0"/>
        <w:ind w:left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F73EBF">
        <w:rPr>
          <w:rFonts w:ascii="Times New Roman" w:eastAsia="Arial,Italic" w:hAnsi="Times New Roman" w:cs="Times New Roman"/>
          <w:sz w:val="24"/>
          <w:szCs w:val="24"/>
        </w:rPr>
        <w:t>- рытье до проектной отметки;</w:t>
      </w:r>
    </w:p>
    <w:p w:rsidR="00F73EBF" w:rsidRPr="00F73EBF" w:rsidRDefault="00F73EBF" w:rsidP="00F73EBF">
      <w:pPr>
        <w:spacing w:after="0"/>
        <w:ind w:left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F73EBF">
        <w:rPr>
          <w:rFonts w:ascii="Times New Roman" w:eastAsia="Arial,Italic" w:hAnsi="Times New Roman" w:cs="Times New Roman"/>
          <w:sz w:val="24"/>
          <w:szCs w:val="24"/>
        </w:rPr>
        <w:t>- размещение вынутого грунта непосредственно вдоль траншей;</w:t>
      </w:r>
    </w:p>
    <w:p w:rsidR="00F73EBF" w:rsidRPr="00F73EBF" w:rsidRDefault="00F73EBF" w:rsidP="00F73EBF">
      <w:pPr>
        <w:spacing w:after="0"/>
        <w:ind w:left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F73EBF">
        <w:rPr>
          <w:rFonts w:ascii="Times New Roman" w:eastAsia="Arial,Italic" w:hAnsi="Times New Roman" w:cs="Times New Roman"/>
          <w:sz w:val="24"/>
          <w:szCs w:val="24"/>
        </w:rPr>
        <w:t>- послойная обратная засыпка траншеи;</w:t>
      </w:r>
    </w:p>
    <w:p w:rsidR="00F73EBF" w:rsidRPr="00F73EBF" w:rsidRDefault="00F73EBF" w:rsidP="00F73EBF">
      <w:pPr>
        <w:spacing w:after="0"/>
        <w:ind w:left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F73EBF">
        <w:rPr>
          <w:rFonts w:ascii="Times New Roman" w:eastAsia="Arial,Italic" w:hAnsi="Times New Roman" w:cs="Times New Roman"/>
          <w:sz w:val="24"/>
          <w:szCs w:val="24"/>
        </w:rPr>
        <w:t>- утромбование грунтов до нормативных значений;</w:t>
      </w:r>
    </w:p>
    <w:p w:rsidR="00F73EBF" w:rsidRPr="00F73EBF" w:rsidRDefault="00F73EBF" w:rsidP="00F73EBF">
      <w:pPr>
        <w:spacing w:after="0"/>
        <w:ind w:left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F73EBF">
        <w:rPr>
          <w:rFonts w:ascii="Times New Roman" w:eastAsia="Arial,Italic" w:hAnsi="Times New Roman" w:cs="Times New Roman"/>
          <w:sz w:val="24"/>
          <w:szCs w:val="24"/>
        </w:rPr>
        <w:lastRenderedPageBreak/>
        <w:t>- планировка территории бульдозером в соответствие с прилегающим</w:t>
      </w:r>
    </w:p>
    <w:p w:rsidR="00F73EBF" w:rsidRPr="00F73EBF" w:rsidRDefault="00F73EBF" w:rsidP="00F73EBF">
      <w:pPr>
        <w:spacing w:after="0"/>
        <w:ind w:left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F73EBF">
        <w:rPr>
          <w:rFonts w:ascii="Times New Roman" w:eastAsia="Arial,Italic" w:hAnsi="Times New Roman" w:cs="Times New Roman"/>
          <w:sz w:val="24"/>
          <w:szCs w:val="24"/>
        </w:rPr>
        <w:t>микрорельефом;</w:t>
      </w:r>
    </w:p>
    <w:p w:rsidR="00F73EBF" w:rsidRPr="00F73EBF" w:rsidRDefault="00F73EBF" w:rsidP="00F73EBF">
      <w:pPr>
        <w:spacing w:after="0"/>
        <w:ind w:left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F73EBF">
        <w:rPr>
          <w:rFonts w:ascii="Times New Roman" w:eastAsia="Arial,Italic" w:hAnsi="Times New Roman" w:cs="Times New Roman"/>
          <w:sz w:val="24"/>
          <w:szCs w:val="24"/>
        </w:rPr>
        <w:t>- оставление территории на самозарастание (засев травосмесями не предусмотрен во избежание заноса на территорию нетипичных и карантинных видов растений. Характер рельефа и микрорельефа позволяет оставлять полосу на самозарастание: ровный рельеф без склонов и оврагов, размывания и смыва верхнего слоя осадками не будет. Поэтому биологический этап рекультивации не предусмотрен).</w:t>
      </w:r>
    </w:p>
    <w:p w:rsidR="00F73EBF" w:rsidRPr="00F73EBF" w:rsidRDefault="00F73EBF" w:rsidP="00F73EBF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F73EBF">
        <w:rPr>
          <w:rFonts w:ascii="Times New Roman" w:eastAsia="Arial,Italic" w:hAnsi="Times New Roman" w:cs="Times New Roman"/>
          <w:sz w:val="24"/>
          <w:szCs w:val="24"/>
        </w:rPr>
        <w:t>После завершения строительства территория очищается от строительного мусора. В соответствие со ст. 78 Земельного кодекса РФ, Постановлением Правительства РФ от 10.07.2018 г. № 800 «О проведении рекультивации и консервации земель», СП 45.13330.2017 Земляные сооружения, основания и фундаменты. Актуализированная редакция СНиП 3.02.01-87 (с Изменением № 1).</w:t>
      </w:r>
    </w:p>
    <w:p w:rsidR="00F73EBF" w:rsidRPr="00F73EBF" w:rsidRDefault="00F73EBF" w:rsidP="00F73EBF">
      <w:pPr>
        <w:spacing w:after="0"/>
        <w:ind w:left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F73EBF">
        <w:rPr>
          <w:rFonts w:ascii="Times New Roman" w:eastAsia="Arial,Italic" w:hAnsi="Times New Roman" w:cs="Times New Roman"/>
          <w:sz w:val="24"/>
          <w:szCs w:val="24"/>
        </w:rPr>
        <w:t>– для очистки колес строительной техники используется ручной способ. В соответствии с п. 6.2.7. СП 48.13330.2011 с положениями ст.12 п.2, ст.13 п.1 Земельного кодекса РФ: цели охраны земель и содержание охраны земель – защита земель от химического загрязнения;</w:t>
      </w:r>
    </w:p>
    <w:p w:rsidR="00F73EBF" w:rsidRPr="00F73EBF" w:rsidRDefault="00F73EBF" w:rsidP="00F73EBF">
      <w:pPr>
        <w:spacing w:after="0"/>
        <w:ind w:left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F73EBF">
        <w:rPr>
          <w:rFonts w:ascii="Times New Roman" w:eastAsia="Arial,Italic" w:hAnsi="Times New Roman" w:cs="Times New Roman"/>
          <w:sz w:val="24"/>
          <w:szCs w:val="24"/>
        </w:rPr>
        <w:t>– для сбора случайных проливов топлива рекомендуется использовать сорбент, действие которого заключается в химико-механическом преобразовании загрязненного грунта в порошкообразный, нейтральный для внешней среды материал. В соответствии с положениями ст.12 п.2, ст.13 п.1 Земельного кодекса РФ: цели охраны земель и содержание охраны земель – защита земель от химического загрязнения.</w:t>
      </w:r>
    </w:p>
    <w:p w:rsidR="00F73EBF" w:rsidRPr="00F73EBF" w:rsidRDefault="00F73EBF" w:rsidP="00F73EBF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F73EBF">
        <w:rPr>
          <w:rFonts w:ascii="Times New Roman" w:eastAsia="Arial,Italic" w:hAnsi="Times New Roman" w:cs="Times New Roman"/>
          <w:sz w:val="24"/>
          <w:szCs w:val="24"/>
        </w:rPr>
        <w:t>Согласно заключению Департамента по недропользованию по УрФО в пределах трехкиломметровой зоны от проектируемых объектов расположены следующие водозаборы:</w:t>
      </w:r>
    </w:p>
    <w:p w:rsidR="00F73EBF" w:rsidRPr="00F73EBF" w:rsidRDefault="00F73EBF" w:rsidP="00F73EBF">
      <w:pPr>
        <w:spacing w:after="0"/>
        <w:ind w:left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F73EBF">
        <w:rPr>
          <w:rFonts w:ascii="Times New Roman" w:eastAsia="Arial,Italic" w:hAnsi="Times New Roman" w:cs="Times New Roman"/>
          <w:sz w:val="24"/>
          <w:szCs w:val="24"/>
        </w:rPr>
        <w:t>• ХМН 02641 ВЭ – ООО «Газпромнефть-Хантос» - 1 водозабор для добычи подземных вод для технологического использования;</w:t>
      </w:r>
    </w:p>
    <w:p w:rsidR="00F73EBF" w:rsidRPr="00F73EBF" w:rsidRDefault="00F73EBF" w:rsidP="00F73EBF">
      <w:pPr>
        <w:spacing w:after="0"/>
        <w:ind w:left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F73EBF">
        <w:rPr>
          <w:rFonts w:ascii="Times New Roman" w:eastAsia="Arial,Italic" w:hAnsi="Times New Roman" w:cs="Times New Roman"/>
          <w:sz w:val="24"/>
          <w:szCs w:val="24"/>
        </w:rPr>
        <w:t>• ХМН 02644 ВЭ – ООО «Газпромнефть-Хантос» - 2 водозабора для добычи подземных вод для технологического использования;</w:t>
      </w:r>
    </w:p>
    <w:p w:rsidR="00F73EBF" w:rsidRPr="00F73EBF" w:rsidRDefault="00F73EBF" w:rsidP="00F73EBF">
      <w:pPr>
        <w:spacing w:after="0"/>
        <w:ind w:left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F73EBF">
        <w:rPr>
          <w:rFonts w:ascii="Times New Roman" w:eastAsia="Arial,Italic" w:hAnsi="Times New Roman" w:cs="Times New Roman"/>
          <w:sz w:val="24"/>
          <w:szCs w:val="24"/>
        </w:rPr>
        <w:t>• ХМН 02645 ВЭ – ООО «Газпромнефть-Хантос» - 3 водозабора для добычи подземных вод для технологического использования;</w:t>
      </w:r>
    </w:p>
    <w:p w:rsidR="00F73EBF" w:rsidRPr="00F73EBF" w:rsidRDefault="00F73EBF" w:rsidP="00F73EBF">
      <w:pPr>
        <w:spacing w:after="0"/>
        <w:ind w:left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F73EBF">
        <w:rPr>
          <w:rFonts w:ascii="Times New Roman" w:eastAsia="Arial,Italic" w:hAnsi="Times New Roman" w:cs="Times New Roman"/>
          <w:sz w:val="24"/>
          <w:szCs w:val="24"/>
        </w:rPr>
        <w:t>• ХМН 20196 ВЭ – ООО «Южно-Приобский ГПЗ» - 1 водозабор для добычи подземных вод для технологического использования;</w:t>
      </w:r>
    </w:p>
    <w:p w:rsidR="00F73EBF" w:rsidRPr="00F73EBF" w:rsidRDefault="00F73EBF" w:rsidP="00F73EBF">
      <w:pPr>
        <w:spacing w:after="0"/>
        <w:ind w:left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F73EBF">
        <w:rPr>
          <w:rFonts w:ascii="Times New Roman" w:eastAsia="Arial,Italic" w:hAnsi="Times New Roman" w:cs="Times New Roman"/>
          <w:sz w:val="24"/>
          <w:szCs w:val="24"/>
        </w:rPr>
        <w:t>• ХМН 157703 П – ООО «Газпромнефть-Хантос» - 1 водозабор для добычи подземных вод для технологического использования.</w:t>
      </w:r>
    </w:p>
    <w:p w:rsidR="00F73EBF" w:rsidRPr="00F73EBF" w:rsidRDefault="00F73EBF" w:rsidP="00F73EBF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F73EBF">
        <w:rPr>
          <w:rFonts w:ascii="Times New Roman" w:eastAsia="Arial,Italic" w:hAnsi="Times New Roman" w:cs="Times New Roman"/>
          <w:sz w:val="24"/>
          <w:szCs w:val="24"/>
        </w:rPr>
        <w:t>Поэтому для охраны и защиты скважин от загрязнения предусмотрены мероприятия. В пределах охранной зоны газопровода нахождение скважин исключено.</w:t>
      </w:r>
    </w:p>
    <w:p w:rsidR="00F73EBF" w:rsidRPr="00F73EBF" w:rsidRDefault="00F73EBF" w:rsidP="00F73EBF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F73EBF">
        <w:rPr>
          <w:rFonts w:ascii="Times New Roman" w:eastAsia="Arial,Italic" w:hAnsi="Times New Roman" w:cs="Times New Roman"/>
          <w:sz w:val="24"/>
          <w:szCs w:val="24"/>
        </w:rPr>
        <w:t>Мероприятия на территории ЗСО подземных источников водоснабжения в соответствие с СанПиН 2.1.4.1110-02 «Зоны санитарной охраны источников водоснабжения и водопроводов питьевого назначения»:</w:t>
      </w:r>
    </w:p>
    <w:p w:rsidR="00F73EBF" w:rsidRPr="00F73EBF" w:rsidRDefault="00F73EBF" w:rsidP="00F73EBF">
      <w:pPr>
        <w:spacing w:after="0"/>
        <w:ind w:left="851" w:hanging="142"/>
        <w:jc w:val="both"/>
        <w:rPr>
          <w:rFonts w:ascii="Times New Roman" w:eastAsia="Arial,Italic" w:hAnsi="Times New Roman" w:cs="Times New Roman"/>
          <w:sz w:val="24"/>
          <w:szCs w:val="24"/>
          <w:u w:val="single"/>
        </w:rPr>
      </w:pPr>
      <w:r w:rsidRPr="00F73EBF">
        <w:rPr>
          <w:rFonts w:ascii="Times New Roman" w:eastAsia="Arial,Italic" w:hAnsi="Times New Roman" w:cs="Times New Roman"/>
          <w:sz w:val="24"/>
          <w:szCs w:val="24"/>
          <w:u w:val="single"/>
        </w:rPr>
        <w:t>Во время строительства:</w:t>
      </w:r>
    </w:p>
    <w:p w:rsidR="00F73EBF" w:rsidRPr="00F73EBF" w:rsidRDefault="00F73EBF" w:rsidP="00F73EBF">
      <w:pPr>
        <w:pStyle w:val="a"/>
        <w:ind w:left="851" w:hanging="142"/>
      </w:pPr>
      <w:r w:rsidRPr="00F73EBF">
        <w:t>применение герметических емкостей для перевозки растворов и бетонов;</w:t>
      </w:r>
    </w:p>
    <w:p w:rsidR="00F73EBF" w:rsidRPr="00F73EBF" w:rsidRDefault="00F73EBF" w:rsidP="00F73EBF">
      <w:pPr>
        <w:pStyle w:val="a"/>
        <w:ind w:left="851" w:hanging="142"/>
      </w:pPr>
      <w:r w:rsidRPr="00F73EBF">
        <w:t xml:space="preserve">устранение открытого хранения, погрузки и перевозки сыпучих, пылящих веществ (применение контейнеров, специальных транспортных средств); </w:t>
      </w:r>
    </w:p>
    <w:p w:rsidR="00F73EBF" w:rsidRPr="00F73EBF" w:rsidRDefault="00F73EBF" w:rsidP="00F73EBF">
      <w:pPr>
        <w:pStyle w:val="a"/>
        <w:ind w:left="851" w:hanging="142"/>
      </w:pPr>
      <w:r w:rsidRPr="00F73EBF">
        <w:t>слив горюче-смазочных материалов только в специально отведенных и оборудованных для этой цели местах;</w:t>
      </w:r>
    </w:p>
    <w:p w:rsidR="00F73EBF" w:rsidRPr="00F73EBF" w:rsidRDefault="00F73EBF" w:rsidP="00F73EBF">
      <w:pPr>
        <w:pStyle w:val="a"/>
        <w:ind w:left="851" w:hanging="142"/>
      </w:pPr>
      <w:r w:rsidRPr="00F73EBF">
        <w:t>после завершения всех работ восстановление нарушенных элементов благоустройства;</w:t>
      </w:r>
    </w:p>
    <w:p w:rsidR="00F73EBF" w:rsidRPr="00F73EBF" w:rsidRDefault="00F73EBF" w:rsidP="00F73EBF">
      <w:pPr>
        <w:pStyle w:val="a"/>
        <w:ind w:left="851" w:hanging="142"/>
      </w:pPr>
      <w:r w:rsidRPr="00F73EBF">
        <w:t>использование сорбента при случайных проливах нефтепродуктов.</w:t>
      </w:r>
    </w:p>
    <w:p w:rsidR="00F73EBF" w:rsidRDefault="00F73EBF" w:rsidP="00F73EBF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F73EBF">
        <w:rPr>
          <w:rFonts w:ascii="Times New Roman" w:eastAsia="Arial,Italic" w:hAnsi="Times New Roman" w:cs="Times New Roman"/>
          <w:sz w:val="24"/>
          <w:szCs w:val="24"/>
        </w:rPr>
        <w:t xml:space="preserve">Данные мероприятия позволяют сохранить постоянство природного состава воды путем устранения и предупреждения возможности ее загрязнения в соответствие с п. 3.2. </w:t>
      </w:r>
      <w:r w:rsidRPr="00F73EBF">
        <w:rPr>
          <w:rFonts w:ascii="Times New Roman" w:eastAsia="Arial,Italic" w:hAnsi="Times New Roman" w:cs="Times New Roman"/>
          <w:sz w:val="24"/>
          <w:szCs w:val="24"/>
        </w:rPr>
        <w:lastRenderedPageBreak/>
        <w:t>СанПиН 2.1.4.1110-02 «Зоны санитарной охраны источников водоснабжения и водопроводов питьевого назначения».</w:t>
      </w:r>
    </w:p>
    <w:p w:rsidR="00F73EBF" w:rsidRPr="009D35A8" w:rsidRDefault="00F73EBF" w:rsidP="00F73EBF">
      <w:pPr>
        <w:spacing w:after="0"/>
        <w:ind w:firstLine="709"/>
        <w:jc w:val="both"/>
        <w:rPr>
          <w:highlight w:val="cyan"/>
        </w:rPr>
      </w:pPr>
    </w:p>
    <w:p w:rsidR="00F73EBF" w:rsidRDefault="00F73EBF" w:rsidP="00F73EBF">
      <w:pPr>
        <w:pStyle w:val="2"/>
      </w:pPr>
      <w:bookmarkStart w:id="65" w:name="_Toc9070751"/>
      <w:bookmarkStart w:id="66" w:name="_Toc58490211"/>
      <w:bookmarkStart w:id="67" w:name="_Toc66271382"/>
      <w:r w:rsidRPr="00F57898">
        <w:t>8.</w:t>
      </w:r>
      <w:r>
        <w:t>3</w:t>
      </w:r>
      <w:r w:rsidRPr="00F57898">
        <w:t xml:space="preserve">. </w:t>
      </w:r>
      <w:bookmarkEnd w:id="65"/>
      <w:bookmarkEnd w:id="66"/>
      <w:r w:rsidRPr="00EE66C8">
        <w:t>Мероприятия по рациональному использованию и охране вод и водных биоресурсов на пересе</w:t>
      </w:r>
      <w:r>
        <w:t>к</w:t>
      </w:r>
      <w:r w:rsidRPr="00EE66C8">
        <w:t>аемых линейным источником объектах</w:t>
      </w:r>
      <w:bookmarkEnd w:id="67"/>
    </w:p>
    <w:p w:rsidR="00F73EBF" w:rsidRPr="00F73EBF" w:rsidRDefault="00F73EBF" w:rsidP="00F73EBF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</w:rPr>
      </w:pPr>
      <w:r w:rsidRPr="00F73EBF">
        <w:rPr>
          <w:rFonts w:ascii="Times New Roman" w:eastAsia="Arial,Italic" w:hAnsi="Times New Roman" w:cs="Times New Roman"/>
          <w:sz w:val="24"/>
        </w:rPr>
        <w:t xml:space="preserve">Охрана поверхностных и подземных вод организуется в целях защиты здоровья населения, обеспечения благоприятных условий водопользования и экологического благополучия водных объектов. Водоохранная зона для рек и озер создается как составная часть природоохранных мер, а также мероприятий по улучшению гидрологического режима, благоустройству рек, озер и прибрежных территорий. </w:t>
      </w:r>
    </w:p>
    <w:p w:rsidR="00F73EBF" w:rsidRPr="00F73EBF" w:rsidRDefault="00F73EBF" w:rsidP="00F73EBF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</w:rPr>
      </w:pPr>
      <w:r w:rsidRPr="00F73EBF">
        <w:rPr>
          <w:rFonts w:ascii="Times New Roman" w:eastAsia="Arial,Italic" w:hAnsi="Times New Roman" w:cs="Times New Roman"/>
          <w:sz w:val="24"/>
        </w:rPr>
        <w:t>Предусмотрено также предотвращение от захламления территории (в соответствии с требованиями ЗК РФ, ст. 12 и 13), а, соответственно, и предотвращения загрязнения поверхностных и подземных вод: сбор отходов с места строительства.</w:t>
      </w:r>
    </w:p>
    <w:p w:rsidR="00F73EBF" w:rsidRDefault="00F73EBF" w:rsidP="00F73EBF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</w:rPr>
      </w:pPr>
      <w:r w:rsidRPr="00F73EBF">
        <w:rPr>
          <w:rFonts w:ascii="Times New Roman" w:eastAsia="Arial,Italic" w:hAnsi="Times New Roman" w:cs="Times New Roman"/>
          <w:sz w:val="24"/>
        </w:rPr>
        <w:t>Принятые решения позволят свести к минимуму загрязнение почв, а значит и поверхностных и подземных вод. Дополнительных природоохранных мероприятий не требуется.</w:t>
      </w:r>
    </w:p>
    <w:p w:rsidR="00F73EBF" w:rsidRDefault="00F73EBF" w:rsidP="00F73EBF">
      <w:pPr>
        <w:spacing w:after="0"/>
        <w:ind w:firstLine="709"/>
        <w:jc w:val="both"/>
        <w:rPr>
          <w:rFonts w:eastAsia="Arial,Italic" w:cs="Arial,Italic"/>
          <w:i/>
          <w:iCs/>
        </w:rPr>
      </w:pPr>
    </w:p>
    <w:p w:rsidR="00F73EBF" w:rsidRDefault="00F73EBF" w:rsidP="00F73EBF">
      <w:pPr>
        <w:pStyle w:val="2"/>
        <w:spacing w:after="0"/>
      </w:pPr>
      <w:bookmarkStart w:id="68" w:name="_Toc66271383"/>
      <w:r>
        <w:t>8.4. Мероприятия по рациональному использованию общераспространенных полезных ископаемых, используемых при строительстве</w:t>
      </w:r>
      <w:bookmarkEnd w:id="68"/>
    </w:p>
    <w:p w:rsidR="00F73EBF" w:rsidRDefault="00F73EBF" w:rsidP="00F73EBF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</w:rPr>
      </w:pPr>
    </w:p>
    <w:p w:rsidR="00F73EBF" w:rsidRPr="00F73EBF" w:rsidRDefault="00F73EBF" w:rsidP="00F73EBF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</w:rPr>
      </w:pPr>
      <w:r w:rsidRPr="00F73EBF">
        <w:rPr>
          <w:rFonts w:ascii="Times New Roman" w:eastAsia="Arial,Italic" w:hAnsi="Times New Roman" w:cs="Times New Roman"/>
          <w:sz w:val="24"/>
        </w:rPr>
        <w:t>Из общераспространенных полезных ископаемых в строительстве газопровода использование общераспространённых полезных ископаемых: песок и щебень. Доставка с карьеров предприятий, имеющих лицензию на добычу соответствующих ресурсов.</w:t>
      </w:r>
    </w:p>
    <w:p w:rsidR="00F73EBF" w:rsidRDefault="00F73EBF" w:rsidP="00F73EBF">
      <w:pPr>
        <w:spacing w:after="0"/>
        <w:rPr>
          <w:rFonts w:eastAsia="Arial,Italic" w:cs="Arial,Italic"/>
          <w:i/>
          <w:iCs/>
        </w:rPr>
      </w:pPr>
    </w:p>
    <w:p w:rsidR="00F73EBF" w:rsidRDefault="00F73EBF" w:rsidP="00F73EBF">
      <w:pPr>
        <w:pStyle w:val="2"/>
        <w:spacing w:after="0"/>
      </w:pPr>
      <w:bookmarkStart w:id="69" w:name="_Toc66271384"/>
      <w:r>
        <w:t>8.5. Мероприятия по сбору, использованию, обезвреживанию, транспортировке и размещению опасных отходов.</w:t>
      </w:r>
      <w:bookmarkEnd w:id="69"/>
    </w:p>
    <w:p w:rsidR="00F73EBF" w:rsidRDefault="00F73EBF" w:rsidP="00F73EBF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</w:p>
    <w:p w:rsidR="00F73EBF" w:rsidRPr="00F73EBF" w:rsidRDefault="00F73EBF" w:rsidP="00F73EBF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F73EBF">
        <w:rPr>
          <w:rFonts w:ascii="Times New Roman" w:eastAsia="Arial,Italic" w:hAnsi="Times New Roman" w:cs="Times New Roman"/>
          <w:sz w:val="24"/>
          <w:szCs w:val="24"/>
        </w:rPr>
        <w:t>Из видов обращения с отходами будет происходить только накопление.</w:t>
      </w:r>
    </w:p>
    <w:p w:rsidR="00F73EBF" w:rsidRPr="00F73EBF" w:rsidRDefault="00F73EBF" w:rsidP="00F73EBF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F73EBF">
        <w:rPr>
          <w:rFonts w:ascii="Times New Roman" w:eastAsia="Arial,Italic" w:hAnsi="Times New Roman" w:cs="Times New Roman"/>
          <w:sz w:val="24"/>
          <w:szCs w:val="24"/>
        </w:rPr>
        <w:t>Во исполнение требований ст. 32 ФЗ №384 от 30.12.2009 г. «Технический регламент о безопасности зданий и сооружений» предусмотрено следующее обращение с отходами:</w:t>
      </w:r>
    </w:p>
    <w:p w:rsidR="00F73EBF" w:rsidRPr="00F73EBF" w:rsidRDefault="00F73EBF" w:rsidP="00F73EBF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F73EBF">
        <w:rPr>
          <w:rFonts w:ascii="Times New Roman" w:eastAsia="Arial,Italic" w:hAnsi="Times New Roman" w:cs="Times New Roman"/>
          <w:sz w:val="24"/>
          <w:szCs w:val="24"/>
        </w:rPr>
        <w:t>- в соответствии с СанПиН 2.1.7.1322-03 «Гигиенические требования к размещению и обезвреживанию отходов производства и потребления» виды отходов 4-го и 5-го кл. оп., будут размещаться навалом на полигоне ТБО  - Полигон промышленных и бытовых отходов Южной части Приобского м.р. Приказ ГРОРО №758 от 28 ноября 2014 г. № Объекта86-00475-З-00758-281114. Назначение ОРО Захоронение отходов. Ближайший населенный пункт г.Ханты-Мансийск. Регион ОРО Ханты-Мансийский автономный округ – Югра.</w:t>
      </w:r>
    </w:p>
    <w:p w:rsidR="00F73EBF" w:rsidRPr="00F73EBF" w:rsidRDefault="00F73EBF" w:rsidP="00F73EBF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F73EBF">
        <w:rPr>
          <w:rFonts w:ascii="Times New Roman" w:eastAsia="Arial,Italic" w:hAnsi="Times New Roman" w:cs="Times New Roman"/>
          <w:sz w:val="24"/>
          <w:szCs w:val="24"/>
        </w:rPr>
        <w:t>В период эксплуатации образование отходов не предвидится.</w:t>
      </w:r>
    </w:p>
    <w:p w:rsidR="00F73EBF" w:rsidRPr="00F73EBF" w:rsidRDefault="00F73EBF" w:rsidP="00F73EBF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F73EBF">
        <w:rPr>
          <w:rFonts w:ascii="Times New Roman" w:eastAsia="Arial,Italic" w:hAnsi="Times New Roman" w:cs="Times New Roman"/>
          <w:sz w:val="24"/>
          <w:szCs w:val="24"/>
        </w:rPr>
        <w:t>Для снижения воздействия отходов проектом предусмотрены следующие мероприятия:</w:t>
      </w:r>
    </w:p>
    <w:p w:rsidR="00F73EBF" w:rsidRPr="00F73EBF" w:rsidRDefault="00F73EBF" w:rsidP="00F73EBF">
      <w:pPr>
        <w:pStyle w:val="a"/>
        <w:ind w:left="709" w:hanging="142"/>
      </w:pPr>
      <w:r w:rsidRPr="00F73EBF">
        <w:t xml:space="preserve">на участке работ отходы собираются сразу в автомашину, увозятся на основную производственную базу, где временно хранятся на водонепроницаемой площадке; </w:t>
      </w:r>
    </w:p>
    <w:p w:rsidR="00F73EBF" w:rsidRPr="00F73EBF" w:rsidRDefault="00F73EBF" w:rsidP="00F73EBF">
      <w:pPr>
        <w:pStyle w:val="a"/>
        <w:ind w:left="709" w:hanging="142"/>
      </w:pPr>
      <w:r w:rsidRPr="00F73EBF">
        <w:t>транспортировка отходов полигон ТБО будет производиться силами строительной организации по договору с владельцем полигона (свалки).</w:t>
      </w:r>
    </w:p>
    <w:p w:rsidR="00F73EBF" w:rsidRDefault="00F73EBF" w:rsidP="00F73EBF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F73EBF">
        <w:rPr>
          <w:rFonts w:ascii="Times New Roman" w:eastAsia="Arial,Italic" w:hAnsi="Times New Roman" w:cs="Times New Roman"/>
          <w:sz w:val="24"/>
          <w:szCs w:val="24"/>
        </w:rPr>
        <w:t>Установка контейнеров для мусора не требуется, так как строительный мусор и производственные отходы будут сразу же грузиться в автомобиль.</w:t>
      </w:r>
    </w:p>
    <w:p w:rsidR="009820DB" w:rsidRDefault="009820DB" w:rsidP="00F73EBF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</w:p>
    <w:p w:rsidR="009820DB" w:rsidRPr="00F73EBF" w:rsidRDefault="009820DB" w:rsidP="00F73EBF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</w:p>
    <w:p w:rsidR="00F73EBF" w:rsidRDefault="00F73EBF" w:rsidP="00F73EBF">
      <w:pPr>
        <w:rPr>
          <w:rFonts w:eastAsia="Arial,Italic" w:cs="Arial,Italic"/>
          <w:i/>
          <w:iCs/>
        </w:rPr>
      </w:pPr>
    </w:p>
    <w:p w:rsidR="00F73EBF" w:rsidRDefault="00F73EBF" w:rsidP="00F73EBF">
      <w:pPr>
        <w:pStyle w:val="2"/>
        <w:spacing w:after="0"/>
      </w:pPr>
      <w:bookmarkStart w:id="70" w:name="_Toc66271385"/>
      <w:r>
        <w:lastRenderedPageBreak/>
        <w:t>8.6. Мероприятия по охране объектов растительного и животного мира</w:t>
      </w:r>
      <w:bookmarkEnd w:id="70"/>
    </w:p>
    <w:p w:rsidR="00F73EBF" w:rsidRDefault="00F73EBF" w:rsidP="00F73EBF">
      <w:pPr>
        <w:autoSpaceDE w:val="0"/>
        <w:autoSpaceDN w:val="0"/>
        <w:adjustRightInd w:val="0"/>
        <w:spacing w:after="0"/>
        <w:jc w:val="right"/>
        <w:rPr>
          <w:rFonts w:ascii="Times New Roman" w:eastAsia="Arial,Italic" w:hAnsi="Times New Roman" w:cs="Times New Roman"/>
          <w:iCs/>
          <w:sz w:val="24"/>
          <w:szCs w:val="24"/>
        </w:rPr>
      </w:pPr>
    </w:p>
    <w:p w:rsidR="00F73EBF" w:rsidRPr="00F73EBF" w:rsidRDefault="00F73EBF" w:rsidP="00F73EBF">
      <w:pPr>
        <w:autoSpaceDE w:val="0"/>
        <w:autoSpaceDN w:val="0"/>
        <w:adjustRightInd w:val="0"/>
        <w:spacing w:after="0"/>
        <w:jc w:val="right"/>
        <w:rPr>
          <w:rFonts w:ascii="Times New Roman" w:eastAsia="Arial,Italic" w:hAnsi="Times New Roman" w:cs="Times New Roman"/>
          <w:iCs/>
          <w:sz w:val="24"/>
          <w:szCs w:val="24"/>
        </w:rPr>
      </w:pPr>
      <w:r w:rsidRPr="00F73EBF">
        <w:rPr>
          <w:rFonts w:ascii="Times New Roman" w:eastAsia="Arial,Italic" w:hAnsi="Times New Roman" w:cs="Times New Roman"/>
          <w:iCs/>
          <w:sz w:val="24"/>
          <w:szCs w:val="24"/>
        </w:rPr>
        <w:t>Таблица № 8.6.1</w:t>
      </w:r>
    </w:p>
    <w:p w:rsidR="00F73EBF" w:rsidRPr="00F73EBF" w:rsidRDefault="00F73EBF" w:rsidP="00F73EBF">
      <w:pPr>
        <w:autoSpaceDE w:val="0"/>
        <w:autoSpaceDN w:val="0"/>
        <w:adjustRightInd w:val="0"/>
        <w:spacing w:after="0"/>
        <w:jc w:val="center"/>
        <w:rPr>
          <w:rFonts w:ascii="Times New Roman" w:eastAsia="Arial,Italic" w:hAnsi="Times New Roman" w:cs="Times New Roman"/>
          <w:iCs/>
          <w:sz w:val="24"/>
          <w:szCs w:val="24"/>
        </w:rPr>
      </w:pPr>
      <w:r w:rsidRPr="00F73EBF">
        <w:rPr>
          <w:rFonts w:ascii="Times New Roman" w:eastAsia="Arial,Italic" w:hAnsi="Times New Roman" w:cs="Times New Roman"/>
          <w:iCs/>
          <w:sz w:val="24"/>
          <w:szCs w:val="24"/>
        </w:rPr>
        <w:t>Мероприятия по сохранению животного мира</w:t>
      </w:r>
    </w:p>
    <w:p w:rsidR="00F73EBF" w:rsidRPr="00F73EBF" w:rsidRDefault="00F73EBF" w:rsidP="00F73EBF">
      <w:pPr>
        <w:autoSpaceDE w:val="0"/>
        <w:autoSpaceDN w:val="0"/>
        <w:adjustRightInd w:val="0"/>
        <w:spacing w:after="0"/>
        <w:jc w:val="center"/>
        <w:rPr>
          <w:rFonts w:ascii="Times New Roman" w:eastAsia="Arial,Italic" w:hAnsi="Times New Roman" w:cs="Times New Roman"/>
          <w:iCs/>
          <w:sz w:val="24"/>
          <w:szCs w:val="24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390"/>
        <w:gridCol w:w="4955"/>
      </w:tblGrid>
      <w:tr w:rsidR="00F73EBF" w:rsidRPr="00F73EBF" w:rsidTr="00270928">
        <w:tc>
          <w:tcPr>
            <w:tcW w:w="4390" w:type="dxa"/>
          </w:tcPr>
          <w:p w:rsidR="00F73EBF" w:rsidRPr="00F73EBF" w:rsidRDefault="00F73EBF" w:rsidP="00F73EBF">
            <w:pPr>
              <w:jc w:val="center"/>
              <w:rPr>
                <w:rFonts w:eastAsia="Arial,Italic"/>
                <w:sz w:val="24"/>
                <w:szCs w:val="24"/>
              </w:rPr>
            </w:pPr>
            <w:r w:rsidRPr="00F73EBF">
              <w:rPr>
                <w:rFonts w:eastAsia="Arial,Italic"/>
                <w:sz w:val="24"/>
                <w:szCs w:val="24"/>
              </w:rPr>
              <w:t>Воздействие</w:t>
            </w:r>
          </w:p>
        </w:tc>
        <w:tc>
          <w:tcPr>
            <w:tcW w:w="4955" w:type="dxa"/>
          </w:tcPr>
          <w:p w:rsidR="00F73EBF" w:rsidRPr="00F73EBF" w:rsidRDefault="00F73EBF" w:rsidP="00F73EBF">
            <w:pPr>
              <w:jc w:val="center"/>
              <w:rPr>
                <w:rFonts w:eastAsia="Arial,Italic"/>
                <w:sz w:val="24"/>
                <w:szCs w:val="24"/>
              </w:rPr>
            </w:pPr>
            <w:r w:rsidRPr="00F73EBF">
              <w:rPr>
                <w:rFonts w:eastAsia="Arial,Italic"/>
                <w:sz w:val="24"/>
                <w:szCs w:val="24"/>
              </w:rPr>
              <w:t>Мероприятия</w:t>
            </w:r>
          </w:p>
        </w:tc>
      </w:tr>
      <w:tr w:rsidR="00F73EBF" w:rsidRPr="00F73EBF" w:rsidTr="00270928">
        <w:tc>
          <w:tcPr>
            <w:tcW w:w="4390" w:type="dxa"/>
          </w:tcPr>
          <w:p w:rsidR="00F73EBF" w:rsidRPr="00F73EBF" w:rsidRDefault="00F73EBF" w:rsidP="00F73EBF">
            <w:pPr>
              <w:rPr>
                <w:rFonts w:eastAsia="Arial,Italic"/>
                <w:sz w:val="24"/>
                <w:szCs w:val="24"/>
              </w:rPr>
            </w:pPr>
            <w:r w:rsidRPr="00F73EBF">
              <w:rPr>
                <w:rFonts w:eastAsia="Arial,Italic"/>
                <w:sz w:val="24"/>
                <w:szCs w:val="24"/>
              </w:rPr>
              <w:t>Изъятие местообитания – на время строительства изымается местообитание</w:t>
            </w:r>
          </w:p>
          <w:p w:rsidR="00F73EBF" w:rsidRPr="00F73EBF" w:rsidRDefault="00F73EBF" w:rsidP="00F73EBF">
            <w:pPr>
              <w:rPr>
                <w:rFonts w:eastAsia="Arial,Italic"/>
                <w:sz w:val="24"/>
                <w:szCs w:val="24"/>
              </w:rPr>
            </w:pPr>
            <w:r w:rsidRPr="00F73EBF">
              <w:rPr>
                <w:rFonts w:eastAsia="Arial,Italic"/>
                <w:sz w:val="24"/>
                <w:szCs w:val="24"/>
              </w:rPr>
              <w:t>беспозвоночных и позвоночных подземных животных</w:t>
            </w:r>
          </w:p>
        </w:tc>
        <w:tc>
          <w:tcPr>
            <w:tcW w:w="4955" w:type="dxa"/>
          </w:tcPr>
          <w:p w:rsidR="00F73EBF" w:rsidRPr="00F73EBF" w:rsidRDefault="00F73EBF" w:rsidP="00F73EBF">
            <w:pPr>
              <w:rPr>
                <w:rFonts w:eastAsia="Arial,Italic"/>
                <w:sz w:val="24"/>
                <w:szCs w:val="24"/>
              </w:rPr>
            </w:pPr>
            <w:r w:rsidRPr="00F73EBF">
              <w:rPr>
                <w:rFonts w:eastAsia="Arial,Italic"/>
                <w:sz w:val="24"/>
                <w:szCs w:val="24"/>
              </w:rPr>
              <w:t>Восстановление местообитания путем</w:t>
            </w:r>
          </w:p>
          <w:p w:rsidR="00F73EBF" w:rsidRPr="00F73EBF" w:rsidRDefault="00F73EBF" w:rsidP="00F73EBF">
            <w:pPr>
              <w:rPr>
                <w:rFonts w:eastAsia="Arial,Italic"/>
                <w:sz w:val="24"/>
                <w:szCs w:val="24"/>
              </w:rPr>
            </w:pPr>
            <w:r w:rsidRPr="00F73EBF">
              <w:rPr>
                <w:rFonts w:eastAsia="Arial,Italic"/>
                <w:sz w:val="24"/>
                <w:szCs w:val="24"/>
              </w:rPr>
              <w:t>обратной засыпки траншеи грунтом</w:t>
            </w:r>
          </w:p>
        </w:tc>
      </w:tr>
      <w:tr w:rsidR="00F73EBF" w:rsidRPr="00F73EBF" w:rsidTr="00270928">
        <w:tc>
          <w:tcPr>
            <w:tcW w:w="4390" w:type="dxa"/>
          </w:tcPr>
          <w:p w:rsidR="00F73EBF" w:rsidRPr="00F73EBF" w:rsidRDefault="00F73EBF" w:rsidP="00F73EBF">
            <w:pPr>
              <w:rPr>
                <w:rFonts w:eastAsia="Arial,Italic"/>
                <w:sz w:val="24"/>
                <w:szCs w:val="24"/>
              </w:rPr>
            </w:pPr>
            <w:r w:rsidRPr="00F73EBF">
              <w:rPr>
                <w:rFonts w:eastAsia="Arial,Italic"/>
                <w:sz w:val="24"/>
                <w:szCs w:val="24"/>
              </w:rPr>
              <w:t>Изменение среды обитания</w:t>
            </w:r>
          </w:p>
        </w:tc>
        <w:tc>
          <w:tcPr>
            <w:tcW w:w="4955" w:type="dxa"/>
          </w:tcPr>
          <w:p w:rsidR="00F73EBF" w:rsidRPr="00F73EBF" w:rsidRDefault="00F73EBF" w:rsidP="00F73EBF">
            <w:pPr>
              <w:rPr>
                <w:rFonts w:eastAsia="Arial,Italic"/>
                <w:sz w:val="24"/>
                <w:szCs w:val="24"/>
              </w:rPr>
            </w:pPr>
            <w:r w:rsidRPr="00F73EBF">
              <w:rPr>
                <w:rFonts w:eastAsia="Arial,Italic"/>
                <w:sz w:val="24"/>
                <w:szCs w:val="24"/>
              </w:rPr>
              <w:t>Так как воздействие незначительное специальных мероприятий не предусмотрено</w:t>
            </w:r>
          </w:p>
        </w:tc>
      </w:tr>
      <w:tr w:rsidR="00F73EBF" w:rsidRPr="00F73EBF" w:rsidTr="00270928">
        <w:tc>
          <w:tcPr>
            <w:tcW w:w="4390" w:type="dxa"/>
          </w:tcPr>
          <w:p w:rsidR="00F73EBF" w:rsidRPr="00F73EBF" w:rsidRDefault="00F73EBF" w:rsidP="00F73EBF">
            <w:pPr>
              <w:rPr>
                <w:rFonts w:eastAsia="Arial,Italic"/>
                <w:sz w:val="24"/>
                <w:szCs w:val="24"/>
              </w:rPr>
            </w:pPr>
            <w:r w:rsidRPr="00F73EBF">
              <w:rPr>
                <w:rFonts w:eastAsia="Arial,Italic"/>
                <w:sz w:val="24"/>
                <w:szCs w:val="24"/>
              </w:rPr>
              <w:t>Нарушение путей миграции</w:t>
            </w:r>
          </w:p>
        </w:tc>
        <w:tc>
          <w:tcPr>
            <w:tcW w:w="4955" w:type="dxa"/>
          </w:tcPr>
          <w:p w:rsidR="00F73EBF" w:rsidRPr="00F73EBF" w:rsidRDefault="00F73EBF" w:rsidP="00F73EBF">
            <w:pPr>
              <w:rPr>
                <w:rFonts w:eastAsia="Arial,Italic"/>
                <w:sz w:val="24"/>
                <w:szCs w:val="24"/>
              </w:rPr>
            </w:pPr>
            <w:r w:rsidRPr="00F73EBF">
              <w:rPr>
                <w:rFonts w:eastAsia="Arial,Italic"/>
                <w:sz w:val="24"/>
                <w:szCs w:val="24"/>
              </w:rPr>
              <w:t>Так как строительство непродолжительное</w:t>
            </w:r>
          </w:p>
          <w:p w:rsidR="00F73EBF" w:rsidRPr="00F73EBF" w:rsidRDefault="00F73EBF" w:rsidP="00F73EBF">
            <w:pPr>
              <w:rPr>
                <w:rFonts w:eastAsia="Arial,Italic"/>
                <w:sz w:val="24"/>
                <w:szCs w:val="24"/>
              </w:rPr>
            </w:pPr>
            <w:r w:rsidRPr="00F73EBF">
              <w:rPr>
                <w:rFonts w:eastAsia="Arial,Italic"/>
                <w:sz w:val="24"/>
                <w:szCs w:val="24"/>
              </w:rPr>
              <w:t xml:space="preserve">короткими захватами с полным завершением работ; газопровод подземный; ограждения никакие не возводятся во время эксплуатации, соответственно, пути миграции восстанавливаются. </w:t>
            </w:r>
          </w:p>
          <w:p w:rsidR="00F73EBF" w:rsidRPr="00F73EBF" w:rsidRDefault="00F73EBF" w:rsidP="00F73EBF">
            <w:pPr>
              <w:rPr>
                <w:rFonts w:eastAsia="Arial,Italic"/>
                <w:sz w:val="24"/>
                <w:szCs w:val="24"/>
              </w:rPr>
            </w:pPr>
            <w:r w:rsidRPr="00F73EBF">
              <w:rPr>
                <w:rFonts w:eastAsia="Arial,Italic"/>
                <w:sz w:val="24"/>
                <w:szCs w:val="24"/>
              </w:rPr>
              <w:t>Специальных мероприятий не предусматривается</w:t>
            </w:r>
          </w:p>
        </w:tc>
      </w:tr>
      <w:tr w:rsidR="00F73EBF" w:rsidRPr="00F73EBF" w:rsidTr="00270928">
        <w:tc>
          <w:tcPr>
            <w:tcW w:w="4390" w:type="dxa"/>
          </w:tcPr>
          <w:p w:rsidR="00F73EBF" w:rsidRPr="00F73EBF" w:rsidRDefault="00F73EBF" w:rsidP="00F73EBF">
            <w:pPr>
              <w:rPr>
                <w:rFonts w:eastAsia="Arial,Italic"/>
                <w:sz w:val="24"/>
                <w:szCs w:val="24"/>
              </w:rPr>
            </w:pPr>
            <w:r w:rsidRPr="00F73EBF">
              <w:rPr>
                <w:rFonts w:eastAsia="Arial,Italic"/>
                <w:sz w:val="24"/>
                <w:szCs w:val="24"/>
              </w:rPr>
              <w:t>Подрыв кормовой базы</w:t>
            </w:r>
          </w:p>
        </w:tc>
        <w:tc>
          <w:tcPr>
            <w:tcW w:w="4955" w:type="dxa"/>
          </w:tcPr>
          <w:p w:rsidR="00F73EBF" w:rsidRPr="00F73EBF" w:rsidRDefault="00F73EBF" w:rsidP="00F73EBF">
            <w:pPr>
              <w:rPr>
                <w:rFonts w:eastAsia="Arial,Italic"/>
                <w:sz w:val="24"/>
                <w:szCs w:val="24"/>
              </w:rPr>
            </w:pPr>
            <w:r w:rsidRPr="00F73EBF">
              <w:rPr>
                <w:rFonts w:eastAsia="Arial,Italic"/>
                <w:sz w:val="24"/>
                <w:szCs w:val="24"/>
              </w:rPr>
              <w:t>Так как воздействие незначительное специальных мероприятий не предусмотрено</w:t>
            </w:r>
          </w:p>
        </w:tc>
      </w:tr>
      <w:tr w:rsidR="00F73EBF" w:rsidRPr="00F73EBF" w:rsidTr="00270928">
        <w:tc>
          <w:tcPr>
            <w:tcW w:w="4390" w:type="dxa"/>
          </w:tcPr>
          <w:p w:rsidR="00F73EBF" w:rsidRPr="00F73EBF" w:rsidRDefault="00F73EBF" w:rsidP="00F73EBF">
            <w:pPr>
              <w:rPr>
                <w:rFonts w:eastAsia="Arial,Italic"/>
                <w:sz w:val="24"/>
                <w:szCs w:val="24"/>
              </w:rPr>
            </w:pPr>
            <w:r w:rsidRPr="00F73EBF">
              <w:rPr>
                <w:rFonts w:eastAsia="Arial,Italic"/>
                <w:sz w:val="24"/>
                <w:szCs w:val="24"/>
              </w:rPr>
              <w:t>Шумовое и вибрационное беспокойство</w:t>
            </w:r>
          </w:p>
        </w:tc>
        <w:tc>
          <w:tcPr>
            <w:tcW w:w="4955" w:type="dxa"/>
          </w:tcPr>
          <w:p w:rsidR="00F73EBF" w:rsidRPr="00F73EBF" w:rsidRDefault="00F73EBF" w:rsidP="00F73EBF">
            <w:pPr>
              <w:rPr>
                <w:rFonts w:eastAsia="Arial,Italic"/>
                <w:sz w:val="24"/>
                <w:szCs w:val="24"/>
              </w:rPr>
            </w:pPr>
            <w:r w:rsidRPr="00F73EBF">
              <w:rPr>
                <w:rFonts w:eastAsia="Arial,Italic"/>
                <w:sz w:val="24"/>
                <w:szCs w:val="24"/>
              </w:rPr>
              <w:t>Так как воздействие кратковременное</w:t>
            </w:r>
          </w:p>
          <w:p w:rsidR="00F73EBF" w:rsidRPr="00F73EBF" w:rsidRDefault="00F73EBF" w:rsidP="00F73EBF">
            <w:pPr>
              <w:rPr>
                <w:rFonts w:eastAsia="Arial,Italic"/>
                <w:sz w:val="24"/>
                <w:szCs w:val="24"/>
              </w:rPr>
            </w:pPr>
            <w:r w:rsidRPr="00F73EBF">
              <w:rPr>
                <w:rFonts w:eastAsia="Arial,Italic"/>
                <w:sz w:val="24"/>
                <w:szCs w:val="24"/>
              </w:rPr>
              <w:t>специальных мероприятий не предусмотрено</w:t>
            </w:r>
          </w:p>
        </w:tc>
      </w:tr>
    </w:tbl>
    <w:p w:rsidR="00F73EBF" w:rsidRPr="00F73EBF" w:rsidRDefault="00F73EBF" w:rsidP="00F73EBF">
      <w:pPr>
        <w:autoSpaceDE w:val="0"/>
        <w:autoSpaceDN w:val="0"/>
        <w:adjustRightInd w:val="0"/>
        <w:spacing w:after="0"/>
        <w:jc w:val="center"/>
        <w:rPr>
          <w:rFonts w:ascii="Times New Roman" w:eastAsia="Arial,Italic" w:hAnsi="Times New Roman" w:cs="Times New Roman"/>
          <w:iCs/>
          <w:sz w:val="24"/>
          <w:szCs w:val="24"/>
        </w:rPr>
      </w:pPr>
    </w:p>
    <w:p w:rsidR="00F73EBF" w:rsidRPr="00F73EBF" w:rsidRDefault="00F73EBF" w:rsidP="00F73EBF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F73EBF">
        <w:rPr>
          <w:rFonts w:ascii="Times New Roman" w:eastAsia="Arial,Italic" w:hAnsi="Times New Roman" w:cs="Times New Roman"/>
          <w:sz w:val="24"/>
          <w:szCs w:val="24"/>
        </w:rPr>
        <w:t xml:space="preserve">Строительные работы и последующая эксплуатация будут осуществляться в границах отведенной площадки, что должно ограничить негативное воздействие на растительный и животный мир прилегающей территории. </w:t>
      </w:r>
    </w:p>
    <w:p w:rsidR="00F73EBF" w:rsidRPr="00F73EBF" w:rsidRDefault="00F73EBF" w:rsidP="00F73EBF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  <w:szCs w:val="24"/>
        </w:rPr>
      </w:pPr>
      <w:r w:rsidRPr="00F73EBF">
        <w:rPr>
          <w:rFonts w:ascii="Times New Roman" w:eastAsia="Arial,Italic" w:hAnsi="Times New Roman" w:cs="Times New Roman"/>
          <w:sz w:val="24"/>
          <w:szCs w:val="24"/>
        </w:rPr>
        <w:t>Строительство будет кратковременным, а заглубление имеет незначительную площадь и глубину заложения. Последующая эксплуатация в соответствии с принятыми проектными решениями не вызовет необратимого нарушения условий обитания биологических видов прилегающей территории, не приведет к деградации растительных и животных компонентов биогеоценоза прилегающих территорий.</w:t>
      </w:r>
    </w:p>
    <w:p w:rsidR="00F73EBF" w:rsidRPr="003050B8" w:rsidRDefault="00F73EBF" w:rsidP="00F73EBF">
      <w:pPr>
        <w:rPr>
          <w:rFonts w:eastAsia="Arial,Italic"/>
        </w:rPr>
      </w:pPr>
    </w:p>
    <w:p w:rsidR="00F73EBF" w:rsidRDefault="00F73EBF" w:rsidP="00F73EBF">
      <w:pPr>
        <w:pStyle w:val="2"/>
        <w:spacing w:after="0"/>
      </w:pPr>
      <w:bookmarkStart w:id="71" w:name="_Toc66271386"/>
      <w:r>
        <w:t>8.7. Мероприятия по сохранению среды обитания животных, путей их миграции, доступа в нерестилища рыб</w:t>
      </w:r>
      <w:bookmarkEnd w:id="71"/>
    </w:p>
    <w:p w:rsidR="00F73EBF" w:rsidRDefault="00F73EBF" w:rsidP="00F73EBF">
      <w:pPr>
        <w:rPr>
          <w:rFonts w:eastAsia="Arial,Italic"/>
        </w:rPr>
      </w:pPr>
    </w:p>
    <w:p w:rsidR="00F73EBF" w:rsidRPr="00F73EBF" w:rsidRDefault="00F73EBF" w:rsidP="00F73EBF">
      <w:pPr>
        <w:spacing w:after="0"/>
        <w:ind w:firstLine="709"/>
        <w:jc w:val="both"/>
        <w:rPr>
          <w:rFonts w:ascii="Times New Roman" w:eastAsia="Arial,Italic" w:hAnsi="Times New Roman" w:cs="Times New Roman"/>
          <w:sz w:val="24"/>
        </w:rPr>
      </w:pPr>
      <w:r w:rsidRPr="00F73EBF">
        <w:rPr>
          <w:rFonts w:ascii="Times New Roman" w:eastAsia="Arial,Italic" w:hAnsi="Times New Roman" w:cs="Times New Roman"/>
          <w:sz w:val="24"/>
        </w:rPr>
        <w:t>После строительства нарушенная территория будет восстановлена. Будет произведена обратная засыпка, выравнивание рельефа в соответствии с прилегающей территорией.</w:t>
      </w:r>
    </w:p>
    <w:p w:rsidR="00F73EBF" w:rsidRPr="00F73EBF" w:rsidRDefault="00F73EBF" w:rsidP="00F73EBF">
      <w:pPr>
        <w:spacing w:after="0"/>
        <w:ind w:firstLine="709"/>
        <w:jc w:val="both"/>
        <w:rPr>
          <w:rFonts w:ascii="Times New Roman" w:hAnsi="Times New Roman" w:cs="Times New Roman"/>
          <w:sz w:val="24"/>
        </w:rPr>
      </w:pPr>
      <w:r w:rsidRPr="00F73EBF">
        <w:rPr>
          <w:rFonts w:ascii="Times New Roman" w:hAnsi="Times New Roman" w:cs="Times New Roman"/>
          <w:sz w:val="24"/>
        </w:rPr>
        <w:t>Мероприятиями по данному пункту являются:</w:t>
      </w:r>
    </w:p>
    <w:p w:rsidR="00F73EBF" w:rsidRPr="00F73EBF" w:rsidRDefault="00F73EBF" w:rsidP="00F73EBF">
      <w:pPr>
        <w:spacing w:after="0"/>
        <w:ind w:firstLine="709"/>
        <w:jc w:val="both"/>
        <w:rPr>
          <w:rFonts w:ascii="Times New Roman" w:hAnsi="Times New Roman" w:cs="Times New Roman"/>
          <w:sz w:val="24"/>
        </w:rPr>
      </w:pPr>
      <w:r w:rsidRPr="00F73EBF">
        <w:rPr>
          <w:rFonts w:ascii="Times New Roman" w:hAnsi="Times New Roman" w:cs="Times New Roman"/>
          <w:sz w:val="24"/>
        </w:rPr>
        <w:t>− соблюдение правил обращения с отходами при строительстве;</w:t>
      </w:r>
    </w:p>
    <w:p w:rsidR="00F73EBF" w:rsidRPr="00F73EBF" w:rsidRDefault="00F73EBF" w:rsidP="00F73EBF">
      <w:pPr>
        <w:spacing w:after="0"/>
        <w:ind w:firstLine="709"/>
        <w:jc w:val="both"/>
        <w:rPr>
          <w:rFonts w:ascii="Times New Roman" w:hAnsi="Times New Roman" w:cs="Times New Roman"/>
          <w:sz w:val="24"/>
        </w:rPr>
      </w:pPr>
      <w:r w:rsidRPr="00F73EBF">
        <w:rPr>
          <w:rFonts w:ascii="Times New Roman" w:hAnsi="Times New Roman" w:cs="Times New Roman"/>
          <w:sz w:val="24"/>
        </w:rPr>
        <w:t>− уборка строительного мусора при окончании строительства.</w:t>
      </w:r>
      <w:bookmarkStart w:id="72" w:name="_Toc9070754"/>
      <w:bookmarkStart w:id="73" w:name="_Toc58490214"/>
    </w:p>
    <w:p w:rsidR="00F73EBF" w:rsidRPr="00074A56" w:rsidRDefault="00F73EBF" w:rsidP="00F73EBF">
      <w:pPr>
        <w:pStyle w:val="1"/>
      </w:pPr>
      <w:bookmarkStart w:id="74" w:name="_Toc66271387"/>
      <w:r w:rsidRPr="00074A56">
        <w:rPr>
          <w:spacing w:val="-2"/>
        </w:rPr>
        <w:lastRenderedPageBreak/>
        <w:t xml:space="preserve">9. </w:t>
      </w:r>
      <w:r w:rsidRPr="00074A56">
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обороне.</w:t>
      </w:r>
      <w:bookmarkEnd w:id="72"/>
      <w:bookmarkEnd w:id="73"/>
      <w:bookmarkEnd w:id="74"/>
    </w:p>
    <w:p w:rsidR="00F73EBF" w:rsidRDefault="00F73EBF" w:rsidP="00F73EBF">
      <w:pPr>
        <w:pStyle w:val="2"/>
      </w:pPr>
      <w:bookmarkStart w:id="75" w:name="_Toc66271388"/>
      <w:r>
        <w:t>9.1. Перечень мероприятий по предупреждению чрезвычайных ситуаций природного и техногенного характера</w:t>
      </w:r>
      <w:bookmarkEnd w:id="75"/>
    </w:p>
    <w:p w:rsidR="00F73EBF" w:rsidRPr="00F73EBF" w:rsidRDefault="00F73EBF" w:rsidP="00F73EBF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F73EBF">
        <w:rPr>
          <w:rFonts w:ascii="Times New Roman" w:hAnsi="Times New Roman" w:cs="Times New Roman"/>
          <w:iCs/>
          <w:sz w:val="24"/>
          <w:szCs w:val="24"/>
        </w:rPr>
        <w:t>Природная чрезвычайная ситуация – обстановка на определенной территории или акватории, сложившаяся в результате возникновения источника природной ЧС, который может повлечь или повлек за собой человеческие жертвы, ущерб здоровью людей и (или) окружающей природной среде, значительные материальные потери и нарушение условий жизнедеятельности людей (ГОСТ Р 22.0.03-95, п.3.1.1.).</w:t>
      </w:r>
    </w:p>
    <w:p w:rsidR="00F73EBF" w:rsidRPr="00F73EBF" w:rsidRDefault="00F73EBF" w:rsidP="00F73EBF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F73EBF">
        <w:rPr>
          <w:rFonts w:ascii="Times New Roman" w:hAnsi="Times New Roman" w:cs="Times New Roman"/>
          <w:iCs/>
          <w:sz w:val="24"/>
          <w:szCs w:val="24"/>
        </w:rPr>
        <w:t>В соответствии с картой сейсмического районирования ОСР-2015 (СП 14.13330.2014) участок работ приурочен к району, сейсмичность которого 5 баллов, удален от очагов землетрясения. Район работ не сейсмичен и требования СП 14.13330.2014 при проектировании зданий и сооружений не применяются.</w:t>
      </w:r>
    </w:p>
    <w:p w:rsidR="00F73EBF" w:rsidRPr="00F73EBF" w:rsidRDefault="00F73EBF" w:rsidP="00F73EBF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73EBF">
        <w:rPr>
          <w:rFonts w:ascii="Times New Roman" w:hAnsi="Times New Roman" w:cs="Times New Roman"/>
          <w:iCs/>
          <w:sz w:val="24"/>
          <w:szCs w:val="24"/>
        </w:rPr>
        <w:t>Мониторинг опасных природных процессов осуществляется соответствующими службами Ханты-Мансийского автономному округу. Проектной документацией не предусматривается создание собственных систем мониторинга опасных природных процессов. Оповещение об ожидаемых опасных природных процессах и чрезвычайных ситуациях природного характера осуществляется территориальным управлением Росгидромета или Главным управлением МЧС России по Ханты-Мансийскому автономному округу в общей системе оповещения о ЧС.</w:t>
      </w:r>
    </w:p>
    <w:p w:rsidR="00F73EBF" w:rsidRPr="00F73EBF" w:rsidRDefault="00F73EBF" w:rsidP="00F73EBF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73EBF">
        <w:rPr>
          <w:rFonts w:ascii="Times New Roman" w:hAnsi="Times New Roman" w:cs="Times New Roman"/>
          <w:sz w:val="24"/>
          <w:szCs w:val="24"/>
        </w:rPr>
        <w:t xml:space="preserve"> Основным авариям, которые могут возникнуть на проектируемом объекте, относятся горение и взрывы. </w:t>
      </w:r>
    </w:p>
    <w:p w:rsidR="00F73EBF" w:rsidRPr="00F73EBF" w:rsidRDefault="00F73EBF" w:rsidP="00F73EBF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73EBF">
        <w:rPr>
          <w:rFonts w:ascii="Times New Roman" w:hAnsi="Times New Roman" w:cs="Times New Roman"/>
          <w:sz w:val="24"/>
          <w:szCs w:val="24"/>
          <w:u w:val="single"/>
        </w:rPr>
        <w:t>Взрывом</w:t>
      </w:r>
      <w:r w:rsidRPr="00F73EBF">
        <w:rPr>
          <w:rFonts w:ascii="Times New Roman" w:hAnsi="Times New Roman" w:cs="Times New Roman"/>
          <w:sz w:val="24"/>
          <w:szCs w:val="24"/>
        </w:rPr>
        <w:t xml:space="preserve"> называют очень быстрое превращение потенциальной энергии в кинетическую, связанное с внезапным изменением состояния вещества, при котором переход энергии из потенциальной в кинетическую сопровождается, как правило, резким повышением давления, образованием ударной волны и совершением механической работы. </w:t>
      </w:r>
    </w:p>
    <w:p w:rsidR="00F73EBF" w:rsidRPr="00F73EBF" w:rsidRDefault="00F73EBF" w:rsidP="00F73EBF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73EBF">
        <w:rPr>
          <w:rFonts w:ascii="Times New Roman" w:hAnsi="Times New Roman" w:cs="Times New Roman"/>
          <w:sz w:val="24"/>
          <w:szCs w:val="24"/>
        </w:rPr>
        <w:t xml:space="preserve">В общем случае взрыв похож на горение обычных горючих, но отличается тем, что процесс происходит очень быстро, в тысячные и десятитысячные доли секунды. По скорости превращения взрыв делят на два типа - горение и детонация. </w:t>
      </w:r>
    </w:p>
    <w:p w:rsidR="00F73EBF" w:rsidRPr="00F73EBF" w:rsidRDefault="00F73EBF" w:rsidP="00F73EBF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73EBF">
        <w:rPr>
          <w:rFonts w:ascii="Times New Roman" w:hAnsi="Times New Roman" w:cs="Times New Roman"/>
          <w:sz w:val="24"/>
          <w:szCs w:val="24"/>
        </w:rPr>
        <w:t xml:space="preserve">При взрывчатом превращении типа горения, передача энергии от одного слоя вещества к другому происходит путем теплопроводности. Взрыв типа горения характерен для пороха. Процесс образования газов происходит достаточно медленно. </w:t>
      </w:r>
    </w:p>
    <w:p w:rsidR="00F73EBF" w:rsidRPr="00F73EBF" w:rsidRDefault="00F73EBF" w:rsidP="00F73EBF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73EBF">
        <w:rPr>
          <w:rFonts w:ascii="Times New Roman" w:hAnsi="Times New Roman" w:cs="Times New Roman"/>
          <w:sz w:val="24"/>
          <w:szCs w:val="24"/>
        </w:rPr>
        <w:t>При взрыве типа детонации процесс передачи энергии обуславливается прохождением ударной волны по взрывчатому веществу со сверхзвуковой скоростью (6 - 7 тыс. м /сек.). В этом случае газы образуются очень быстро, давление возрастает мгновенно до очень больших величин. Данный тип взрыва характерен для взрывчатых веществ на основе аммиачной селитры.</w:t>
      </w:r>
    </w:p>
    <w:p w:rsidR="00F73EBF" w:rsidRPr="00F73EBF" w:rsidRDefault="00F73EBF" w:rsidP="00F73EBF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73EBF">
        <w:rPr>
          <w:rFonts w:ascii="Times New Roman" w:hAnsi="Times New Roman" w:cs="Times New Roman"/>
          <w:iCs/>
          <w:sz w:val="24"/>
          <w:szCs w:val="24"/>
        </w:rPr>
        <w:t xml:space="preserve">Для того, чтобы начался процесс взрыва (далее он развивается самопроизвольно) необходимо внешнее воздействие, требуется подать на взрывчатое вещество определенное количество энергии. Внешние воздействия могут быть следующих типов: </w:t>
      </w:r>
    </w:p>
    <w:p w:rsidR="00F73EBF" w:rsidRPr="00F73EBF" w:rsidRDefault="00F73EBF" w:rsidP="00F73EBF">
      <w:pPr>
        <w:pStyle w:val="Default"/>
        <w:ind w:left="709"/>
        <w:jc w:val="both"/>
      </w:pPr>
      <w:r w:rsidRPr="00F73EBF">
        <w:rPr>
          <w:iCs/>
        </w:rPr>
        <w:t xml:space="preserve">- механическое (удар, накол, трение); </w:t>
      </w:r>
    </w:p>
    <w:p w:rsidR="00F73EBF" w:rsidRPr="00F73EBF" w:rsidRDefault="00F73EBF" w:rsidP="00F73EBF">
      <w:pPr>
        <w:pStyle w:val="Default"/>
        <w:ind w:left="709"/>
        <w:jc w:val="both"/>
      </w:pPr>
      <w:r w:rsidRPr="00F73EBF">
        <w:rPr>
          <w:iCs/>
        </w:rPr>
        <w:t xml:space="preserve">- тепловое (искра, пламя, нагревание); </w:t>
      </w:r>
    </w:p>
    <w:p w:rsidR="00F73EBF" w:rsidRPr="00F73EBF" w:rsidRDefault="00F73EBF" w:rsidP="00F73EBF">
      <w:pPr>
        <w:pStyle w:val="Default"/>
        <w:ind w:left="709"/>
        <w:jc w:val="both"/>
      </w:pPr>
      <w:r w:rsidRPr="00F73EBF">
        <w:rPr>
          <w:iCs/>
        </w:rPr>
        <w:t xml:space="preserve">- химическое (химическая реакция взаимодействия какого-либо вещества со зрывчатым веществом); </w:t>
      </w:r>
    </w:p>
    <w:p w:rsidR="00F73EBF" w:rsidRPr="00F73EBF" w:rsidRDefault="00F73EBF" w:rsidP="00F73EBF">
      <w:pPr>
        <w:pStyle w:val="Default"/>
        <w:ind w:left="709"/>
        <w:jc w:val="both"/>
      </w:pPr>
      <w:r w:rsidRPr="00F73EBF">
        <w:rPr>
          <w:iCs/>
        </w:rPr>
        <w:t xml:space="preserve">- детонационное (взрыв рядом со взрывчатым веществом другого взрывчатого вещества). </w:t>
      </w:r>
    </w:p>
    <w:p w:rsidR="00F73EBF" w:rsidRDefault="00F73EBF" w:rsidP="00F73EBF">
      <w:pPr>
        <w:pStyle w:val="Default"/>
        <w:ind w:firstLine="709"/>
        <w:jc w:val="both"/>
        <w:rPr>
          <w:iCs/>
        </w:rPr>
      </w:pPr>
      <w:r w:rsidRPr="00F73EBF">
        <w:rPr>
          <w:iCs/>
        </w:rPr>
        <w:t xml:space="preserve">При всех возможных авариях, связанных с детонацией газа, здания и сооружения на проектируемом объекте, а также коммуникации, будут повреждены или разрушены. </w:t>
      </w:r>
      <w:r w:rsidRPr="00F73EBF">
        <w:rPr>
          <w:iCs/>
        </w:rPr>
        <w:lastRenderedPageBreak/>
        <w:t>Сторонних объектов, пострадавших от действия поражающих факторов рассмотренных аварий не прогнозируется.</w:t>
      </w:r>
    </w:p>
    <w:p w:rsidR="00F73EBF" w:rsidRPr="00F73EBF" w:rsidRDefault="00F73EBF" w:rsidP="00F73EBF">
      <w:pPr>
        <w:pStyle w:val="Default"/>
        <w:ind w:firstLine="709"/>
        <w:jc w:val="both"/>
      </w:pPr>
    </w:p>
    <w:p w:rsidR="00F73EBF" w:rsidRDefault="00F73EBF" w:rsidP="00F73EBF">
      <w:pPr>
        <w:pStyle w:val="2"/>
      </w:pPr>
      <w:bookmarkStart w:id="76" w:name="_Toc66271389"/>
      <w:r>
        <w:t>9.2. Решения по обеспечению взрывопожаробезопасности</w:t>
      </w:r>
      <w:bookmarkEnd w:id="76"/>
      <w:r>
        <w:t xml:space="preserve"> </w:t>
      </w:r>
    </w:p>
    <w:p w:rsidR="00F73EBF" w:rsidRPr="00F73EBF" w:rsidRDefault="00F73EBF" w:rsidP="00F73EBF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F73EBF">
        <w:rPr>
          <w:rFonts w:ascii="Times New Roman" w:hAnsi="Times New Roman" w:cs="Times New Roman"/>
          <w:iCs/>
          <w:sz w:val="24"/>
          <w:szCs w:val="24"/>
        </w:rPr>
        <w:t xml:space="preserve">Пожарная безопасность объекта обеспечивается системой предотвращения пожара, системой противопожарной защиты и системой организационно-технических мероприятий. Противопожарные мероприятия отработаны отдельным разделом проектной документации «Мероприятия по обеспечению пожарной безопасности» (ПРО-2019-011-01-ПБ). </w:t>
      </w:r>
    </w:p>
    <w:p w:rsidR="00F73EBF" w:rsidRPr="00F73EBF" w:rsidRDefault="00F73EBF" w:rsidP="00F73EBF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73EBF">
        <w:rPr>
          <w:rFonts w:ascii="Times New Roman" w:hAnsi="Times New Roman" w:cs="Times New Roman"/>
          <w:iCs/>
          <w:sz w:val="24"/>
          <w:szCs w:val="24"/>
        </w:rPr>
        <w:t xml:space="preserve">Пожарная безопасность проектируемого объекта достигается за счет применения конструкций и материалов, имеющих необходимый предел огнестойкости, прошедших сертификацию в области пожарной безопасности; применением инженерного оборудования, снижающего угрозу возникновения пожара и предотвращающего распространение пожара. </w:t>
      </w:r>
    </w:p>
    <w:p w:rsidR="00F73EBF" w:rsidRPr="00F73EBF" w:rsidRDefault="00F73EBF" w:rsidP="00F73EBF">
      <w:pPr>
        <w:pStyle w:val="Default"/>
        <w:ind w:firstLine="709"/>
        <w:jc w:val="both"/>
      </w:pPr>
      <w:r w:rsidRPr="00F73EBF">
        <w:rPr>
          <w:iCs/>
        </w:rPr>
        <w:t xml:space="preserve">Строительные конструкции проектируемого линейного объекта представлены свайными фундаментами под опоры газопровода. Все строительные конструкции запроектированы из негорючих материалов: стальных труб и стального проката. </w:t>
      </w:r>
    </w:p>
    <w:p w:rsidR="00F73EBF" w:rsidRPr="00F73EBF" w:rsidRDefault="00F73EBF" w:rsidP="00F73EBF">
      <w:pPr>
        <w:pStyle w:val="Default"/>
        <w:ind w:firstLine="709"/>
        <w:jc w:val="both"/>
      </w:pPr>
      <w:r w:rsidRPr="00F73EBF">
        <w:rPr>
          <w:iCs/>
        </w:rPr>
        <w:t xml:space="preserve">Предел огнестойкости строительных конструкций – R15. </w:t>
      </w:r>
    </w:p>
    <w:p w:rsidR="00F73EBF" w:rsidRPr="00F73EBF" w:rsidRDefault="00F73EBF" w:rsidP="00F73EBF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73EBF">
        <w:rPr>
          <w:rFonts w:ascii="Times New Roman" w:hAnsi="Times New Roman" w:cs="Times New Roman"/>
          <w:iCs/>
          <w:sz w:val="24"/>
          <w:szCs w:val="24"/>
        </w:rPr>
        <w:t>Класс функциональной пожарной опасности - К0.</w:t>
      </w:r>
    </w:p>
    <w:p w:rsidR="000832E2" w:rsidRDefault="000832E2" w:rsidP="00F73EBF">
      <w:pPr>
        <w:pStyle w:val="2"/>
      </w:pPr>
      <w:bookmarkStart w:id="77" w:name="_Toc66271390"/>
    </w:p>
    <w:p w:rsidR="00F73EBF" w:rsidRPr="007874E5" w:rsidRDefault="00F73EBF" w:rsidP="00F73EBF">
      <w:pPr>
        <w:pStyle w:val="2"/>
      </w:pPr>
      <w:r w:rsidRPr="007874E5">
        <w:t>9.3. Перечень мероприятий по гражданской обороне</w:t>
      </w:r>
      <w:bookmarkEnd w:id="77"/>
    </w:p>
    <w:p w:rsidR="00F73EBF" w:rsidRPr="000832E2" w:rsidRDefault="00F73EBF" w:rsidP="000832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832E2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Участок проектирования находится вне зоны возможных слабых разрушений города, отнесенного к группе и вне зоные возможного сильного радиоактивного и химического заражения (загрязнения) города, отнесенного к группе ГО. </w:t>
      </w:r>
    </w:p>
    <w:p w:rsidR="00F73EBF" w:rsidRPr="000832E2" w:rsidRDefault="00F73EBF" w:rsidP="000832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832E2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Согласно положений СП 165.1325800.2014 «Инженерно-технические мероприятия гражданской обороны» объекты расположены в пределах зоны возможного затопления в случае аварии на гидротехническом сооружении. </w:t>
      </w:r>
    </w:p>
    <w:p w:rsidR="00F73EBF" w:rsidRPr="000832E2" w:rsidRDefault="00F73EBF" w:rsidP="000832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832E2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Проектируемый объект расположен на территории Ханты-Мансийского автономного округа, который в соответствии с ГОСТ 55201-2012 п. 3.15 не входит в зону световой маскировки. </w:t>
      </w:r>
    </w:p>
    <w:p w:rsidR="00F73EBF" w:rsidRPr="000832E2" w:rsidRDefault="00F73EBF" w:rsidP="000832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832E2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Планируемые решения по светомаскировочным мероприятиям на проектируемом объекте соответствуют требованиям СП 264.1325800.2016 и СП 165.1325800.2014. </w:t>
      </w:r>
    </w:p>
    <w:p w:rsidR="00F73EBF" w:rsidRPr="000832E2" w:rsidRDefault="00F73EBF" w:rsidP="000832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832E2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Проектом предусмотрено централизованное отключение наружного освещения. Специальные технические решения по светомаскировке не предусматриваются. </w:t>
      </w:r>
    </w:p>
    <w:p w:rsidR="00F73EBF" w:rsidRPr="000832E2" w:rsidRDefault="00F73EBF" w:rsidP="000832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832E2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В соответствии с СП 264.1325800.2016 «Световая маскировка населенных пунктов и объектов народного хозяйства» на объекте предусмотрены организационные мероприятия по обеспечению светомаскировки, которые включают: </w:t>
      </w:r>
    </w:p>
    <w:p w:rsidR="00F73EBF" w:rsidRPr="000832E2" w:rsidRDefault="00F73EBF" w:rsidP="000832E2">
      <w:pPr>
        <w:autoSpaceDE w:val="0"/>
        <w:autoSpaceDN w:val="0"/>
        <w:adjustRightInd w:val="0"/>
        <w:spacing w:after="0"/>
        <w:ind w:left="851" w:hanging="14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832E2">
        <w:rPr>
          <w:rFonts w:ascii="Times New Roman" w:hAnsi="Times New Roman" w:cs="Times New Roman"/>
          <w:color w:val="000000"/>
          <w:sz w:val="24"/>
          <w:szCs w:val="24"/>
        </w:rPr>
        <w:t xml:space="preserve">– </w:t>
      </w:r>
      <w:r w:rsidRPr="000832E2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подготовку работников отдела главного энергетика к работе по управлению электроосвещением; </w:t>
      </w:r>
    </w:p>
    <w:p w:rsidR="00F73EBF" w:rsidRPr="000832E2" w:rsidRDefault="00F73EBF" w:rsidP="000832E2">
      <w:pPr>
        <w:autoSpaceDE w:val="0"/>
        <w:autoSpaceDN w:val="0"/>
        <w:adjustRightInd w:val="0"/>
        <w:spacing w:after="0"/>
        <w:ind w:left="851" w:hanging="14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832E2">
        <w:rPr>
          <w:rFonts w:ascii="Times New Roman" w:hAnsi="Times New Roman" w:cs="Times New Roman"/>
          <w:color w:val="000000"/>
          <w:sz w:val="24"/>
          <w:szCs w:val="24"/>
        </w:rPr>
        <w:t xml:space="preserve">– </w:t>
      </w:r>
      <w:r w:rsidRPr="000832E2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организацию дежурства в темное время суток на пункте отключения наружного и внутреннего освещения; </w:t>
      </w:r>
    </w:p>
    <w:p w:rsidR="00F73EBF" w:rsidRPr="000832E2" w:rsidRDefault="00F73EBF" w:rsidP="000832E2">
      <w:pPr>
        <w:autoSpaceDE w:val="0"/>
        <w:autoSpaceDN w:val="0"/>
        <w:adjustRightInd w:val="0"/>
        <w:spacing w:after="0"/>
        <w:ind w:left="851" w:hanging="142"/>
        <w:jc w:val="both"/>
        <w:rPr>
          <w:rFonts w:ascii="Times New Roman" w:hAnsi="Times New Roman" w:cs="Times New Roman"/>
          <w:iCs/>
          <w:color w:val="000000"/>
          <w:sz w:val="24"/>
          <w:szCs w:val="24"/>
        </w:rPr>
      </w:pPr>
      <w:r w:rsidRPr="000832E2">
        <w:rPr>
          <w:rFonts w:ascii="Times New Roman" w:hAnsi="Times New Roman" w:cs="Times New Roman"/>
          <w:color w:val="000000"/>
          <w:sz w:val="24"/>
          <w:szCs w:val="24"/>
        </w:rPr>
        <w:t xml:space="preserve">– </w:t>
      </w:r>
      <w:r w:rsidRPr="000832E2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разработку организационных мероприятий по светомаскировке с целью сведения до минимума демаскирующего светового излучения. </w:t>
      </w:r>
    </w:p>
    <w:p w:rsidR="00F73EBF" w:rsidRPr="000832E2" w:rsidRDefault="00F73EBF" w:rsidP="000832E2">
      <w:pPr>
        <w:pStyle w:val="Default"/>
        <w:ind w:firstLine="709"/>
        <w:jc w:val="both"/>
        <w:rPr>
          <w:iCs/>
          <w:u w:val="single"/>
        </w:rPr>
      </w:pPr>
      <w:r w:rsidRPr="000832E2">
        <w:rPr>
          <w:iCs/>
          <w:u w:val="single"/>
        </w:rPr>
        <w:t xml:space="preserve">Система оповещения по ГО существующая в местах постоянного пребывания персонала. </w:t>
      </w:r>
    </w:p>
    <w:p w:rsidR="00F73EBF" w:rsidRPr="000832E2" w:rsidRDefault="00F73EBF" w:rsidP="000832E2">
      <w:pPr>
        <w:pStyle w:val="Default"/>
        <w:ind w:firstLine="709"/>
        <w:jc w:val="both"/>
        <w:rPr>
          <w:iCs/>
        </w:rPr>
      </w:pPr>
      <w:r w:rsidRPr="000832E2">
        <w:rPr>
          <w:iCs/>
        </w:rPr>
        <w:t xml:space="preserve">Органы исполнительной власти во взаимодействии с Главным управлением МЧС России по Ханты-Мансийскому автономному округу оповещают через ЕДДС дежурных диспетчеров предприятий, которые по своим каналам связи оповещают руководителей ведомств, предприятий для принятия решений - по телефону через аппаратуру циркулярного вызова. </w:t>
      </w:r>
    </w:p>
    <w:p w:rsidR="00F73EBF" w:rsidRPr="000832E2" w:rsidRDefault="00F73EBF" w:rsidP="000832E2">
      <w:pPr>
        <w:pStyle w:val="Default"/>
        <w:ind w:firstLine="709"/>
        <w:jc w:val="both"/>
        <w:rPr>
          <w:iCs/>
        </w:rPr>
      </w:pPr>
      <w:r w:rsidRPr="000832E2">
        <w:rPr>
          <w:iCs/>
        </w:rPr>
        <w:lastRenderedPageBreak/>
        <w:t>Оповещение проводится органами исполнительной власти во взаимодействии с Главным управлением МЧС РФ в общей системе оповещения населения подачей сигнала «Внимание Всем!», включением электросирен и передачей речевого сообщения о воздушной тревоге по радио и телевидению.</w:t>
      </w:r>
    </w:p>
    <w:p w:rsidR="00F73EBF" w:rsidRPr="000832E2" w:rsidRDefault="00F73EBF" w:rsidP="000832E2">
      <w:pPr>
        <w:pStyle w:val="Default"/>
        <w:ind w:firstLine="709"/>
        <w:jc w:val="both"/>
        <w:rPr>
          <w:iCs/>
        </w:rPr>
      </w:pPr>
      <w:r w:rsidRPr="000832E2">
        <w:rPr>
          <w:iCs/>
        </w:rPr>
        <w:t xml:space="preserve">Система оповещения является единой системой передачи команд и руководящих указаний для обслуживающего персонала в нормальных эксплуатационных условиях и в аварийных ситуациях. Это основная система, служащая для оповещения персонала звуковыми и световыми предупредительными сигналами, и экстренными речевыми сообщениями о возникновении опасности. По сигналу персонал должен немедленно включить радиотрансляционные приемники для прослушивания экстренного сообщения ГУ МЧС России по Ханты-Мансийскому автономному округу. </w:t>
      </w:r>
    </w:p>
    <w:p w:rsidR="00F73EBF" w:rsidRPr="000832E2" w:rsidRDefault="00F73EBF" w:rsidP="000832E2">
      <w:pPr>
        <w:pStyle w:val="Default"/>
        <w:ind w:firstLine="709"/>
        <w:jc w:val="both"/>
        <w:rPr>
          <w:iCs/>
        </w:rPr>
      </w:pPr>
      <w:r w:rsidRPr="000832E2">
        <w:rPr>
          <w:iCs/>
        </w:rPr>
        <w:t xml:space="preserve">В чрезвычайных ситуациях основным способом доведения сигналов гражданской обороны до людей, находящихся на территории объекта, является передача речевой информации по радиотрансляционным сетям и сетям связи. </w:t>
      </w:r>
    </w:p>
    <w:p w:rsidR="00F73EBF" w:rsidRPr="000832E2" w:rsidRDefault="00F73EBF" w:rsidP="000832E2">
      <w:pPr>
        <w:pStyle w:val="Default"/>
        <w:ind w:firstLine="709"/>
        <w:jc w:val="both"/>
      </w:pPr>
      <w:r w:rsidRPr="000832E2">
        <w:rPr>
          <w:iCs/>
        </w:rPr>
        <w:t xml:space="preserve">Для передачи сигналов оповещения ГО автоматизированным способом при внезапном нападении противника в соответствии с совместным приказом МЧС России, Минсвязи России и Минкультуры России от 25 июля 2006 года N 422/90/376 «Об утверждении Положения о системах оповещения населения» предусмотрено использование сети радиовещания, организационно и технически сопряженной с региональной системой оповещения населения </w:t>
      </w:r>
    </w:p>
    <w:p w:rsidR="00F73EBF" w:rsidRPr="000832E2" w:rsidRDefault="00F73EBF" w:rsidP="000832E2">
      <w:pPr>
        <w:pStyle w:val="Default"/>
        <w:ind w:firstLine="709"/>
        <w:jc w:val="both"/>
        <w:rPr>
          <w:iCs/>
        </w:rPr>
      </w:pPr>
      <w:r w:rsidRPr="000832E2">
        <w:rPr>
          <w:iCs/>
        </w:rPr>
        <w:t>Проектируемый объект находится вне зон возможного радиоактивного загрязнения, согласно зонированию по СП 165.1325800.2014 г. Обоснование введения режимов радиационной защиты на территории объекта не предусматривается. В случае радиоактивного загрязнения предприятие прекращает свою работу.</w:t>
      </w:r>
    </w:p>
    <w:p w:rsidR="00F73EBF" w:rsidRPr="000832E2" w:rsidRDefault="00F73EBF" w:rsidP="000832E2">
      <w:pPr>
        <w:pStyle w:val="Default"/>
        <w:ind w:firstLine="709"/>
        <w:jc w:val="both"/>
      </w:pPr>
      <w:r w:rsidRPr="000832E2">
        <w:rPr>
          <w:iCs/>
        </w:rPr>
        <w:t xml:space="preserve">Мероприятия по повышению эффективности защиты производственных фондов проектируемого объекта при воздействии по ним современных средств поражения не предусматриваются, так как проектируемый объект не имеет категории по гражданской обороне. </w:t>
      </w:r>
    </w:p>
    <w:p w:rsidR="00F73EBF" w:rsidRPr="000832E2" w:rsidRDefault="00F73EBF" w:rsidP="000832E2">
      <w:pPr>
        <w:pStyle w:val="Default"/>
        <w:ind w:firstLine="709"/>
        <w:jc w:val="both"/>
      </w:pPr>
      <w:r w:rsidRPr="000832E2">
        <w:rPr>
          <w:iCs/>
        </w:rPr>
        <w:t xml:space="preserve">Одним из условий устойчивого функционирования в военное время объектов инженерной инфраструктуры, является заблаговременное проведение мероприятий по защите основных фондов от воздействия по ним современных средств поражения. </w:t>
      </w:r>
    </w:p>
    <w:p w:rsidR="00F73EBF" w:rsidRPr="000832E2" w:rsidRDefault="00F73EBF" w:rsidP="000832E2">
      <w:pPr>
        <w:pStyle w:val="Default"/>
        <w:ind w:firstLine="709"/>
        <w:jc w:val="both"/>
      </w:pPr>
      <w:r w:rsidRPr="000832E2">
        <w:rPr>
          <w:iCs/>
        </w:rPr>
        <w:t xml:space="preserve">Защита основных фондов проектируемого объекта от воздействия современных средств поражения (ядерного оружия) достигается: </w:t>
      </w:r>
    </w:p>
    <w:p w:rsidR="00F73EBF" w:rsidRPr="000832E2" w:rsidRDefault="00F73EBF" w:rsidP="000832E2">
      <w:pPr>
        <w:pStyle w:val="a"/>
        <w:ind w:left="851" w:firstLine="0"/>
      </w:pPr>
      <w:r w:rsidRPr="000832E2">
        <w:t xml:space="preserve">обеспечение противопожарных разрывов и расстояний между зданиями и сооружениями; </w:t>
      </w:r>
    </w:p>
    <w:p w:rsidR="00F73EBF" w:rsidRPr="000832E2" w:rsidRDefault="00F73EBF" w:rsidP="000832E2">
      <w:pPr>
        <w:pStyle w:val="a"/>
        <w:ind w:left="851" w:firstLine="0"/>
      </w:pPr>
      <w:r w:rsidRPr="000832E2">
        <w:rPr>
          <w:iCs/>
        </w:rPr>
        <w:t xml:space="preserve">применением средств светомаскировки; </w:t>
      </w:r>
    </w:p>
    <w:p w:rsidR="00F73EBF" w:rsidRPr="000832E2" w:rsidRDefault="00F73EBF" w:rsidP="000832E2">
      <w:pPr>
        <w:pStyle w:val="a"/>
        <w:ind w:left="851" w:firstLine="0"/>
      </w:pPr>
      <w:r w:rsidRPr="000832E2">
        <w:rPr>
          <w:iCs/>
        </w:rPr>
        <w:t xml:space="preserve">применением технологий, конструкций сооружений и оборудования, обеспечивающих возможность восстановления функционирования объекта в минимально возможные сроки; </w:t>
      </w:r>
    </w:p>
    <w:p w:rsidR="00F73EBF" w:rsidRDefault="00F73EBF" w:rsidP="000832E2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0832E2">
        <w:rPr>
          <w:rFonts w:ascii="Times New Roman" w:hAnsi="Times New Roman" w:cs="Times New Roman"/>
          <w:iCs/>
          <w:sz w:val="24"/>
          <w:szCs w:val="24"/>
        </w:rPr>
        <w:t>Так как предприятие прекращает свою деятельность в военное время, мероприятий по повышению устойчивости функционирования объектов при воздействии по ним современных средств поражения не предусматривается</w:t>
      </w:r>
      <w:r w:rsidR="000832E2">
        <w:rPr>
          <w:rFonts w:ascii="Times New Roman" w:hAnsi="Times New Roman" w:cs="Times New Roman"/>
          <w:iCs/>
          <w:sz w:val="24"/>
          <w:szCs w:val="24"/>
        </w:rPr>
        <w:t>.</w:t>
      </w:r>
    </w:p>
    <w:p w:rsidR="000832E2" w:rsidRDefault="000832E2" w:rsidP="000832E2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0832E2" w:rsidRDefault="000832E2" w:rsidP="000832E2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0832E2" w:rsidRDefault="000832E2" w:rsidP="000832E2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0832E2" w:rsidRDefault="000832E2" w:rsidP="000832E2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0832E2" w:rsidRDefault="000832E2" w:rsidP="000832E2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0832E2" w:rsidRDefault="000832E2" w:rsidP="000832E2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0832E2" w:rsidRDefault="000832E2" w:rsidP="000832E2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0832E2" w:rsidRDefault="000832E2" w:rsidP="000832E2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0832E2" w:rsidRDefault="000832E2" w:rsidP="000832E2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0832E2" w:rsidRDefault="000832E2" w:rsidP="000832E2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0832E2" w:rsidRDefault="000832E2" w:rsidP="000832E2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0832E2" w:rsidRDefault="000832E2" w:rsidP="000832E2">
      <w:pPr>
        <w:spacing w:after="0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084A11" w:rsidRPr="009820DB" w:rsidRDefault="00084A11" w:rsidP="00084A11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2</w:t>
      </w:r>
      <w:bookmarkStart w:id="78" w:name="_GoBack"/>
      <w:bookmarkEnd w:id="78"/>
    </w:p>
    <w:p w:rsidR="00084A11" w:rsidRPr="009820DB" w:rsidRDefault="00084A11" w:rsidP="00084A11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9820DB">
        <w:rPr>
          <w:rFonts w:ascii="Times New Roman" w:hAnsi="Times New Roman" w:cs="Times New Roman"/>
          <w:sz w:val="24"/>
          <w:szCs w:val="24"/>
        </w:rPr>
        <w:t>к приказу департамента строительства</w:t>
      </w:r>
    </w:p>
    <w:p w:rsidR="00084A11" w:rsidRPr="009820DB" w:rsidRDefault="00084A11" w:rsidP="00084A11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9820DB">
        <w:rPr>
          <w:rFonts w:ascii="Times New Roman" w:hAnsi="Times New Roman" w:cs="Times New Roman"/>
          <w:sz w:val="24"/>
          <w:szCs w:val="24"/>
        </w:rPr>
        <w:t xml:space="preserve">архитектуры и ЖКХ </w:t>
      </w:r>
    </w:p>
    <w:p w:rsidR="00084A11" w:rsidRPr="009820DB" w:rsidRDefault="00084A11" w:rsidP="00084A11">
      <w:pPr>
        <w:spacing w:after="0" w:line="240" w:lineRule="auto"/>
        <w:jc w:val="right"/>
        <w:rPr>
          <w:rFonts w:ascii="Times New Roman" w:hAnsi="Times New Roman" w:cs="Times New Roman"/>
          <w:spacing w:val="-8"/>
          <w:sz w:val="24"/>
          <w:szCs w:val="24"/>
        </w:rPr>
      </w:pPr>
      <w:r w:rsidRPr="00084A11">
        <w:rPr>
          <w:rFonts w:ascii="Times New Roman" w:hAnsi="Times New Roman" w:cs="Times New Roman"/>
          <w:sz w:val="24"/>
          <w:szCs w:val="24"/>
        </w:rPr>
        <w:t>от 21.04.2021   №107-н</w:t>
      </w:r>
    </w:p>
    <w:p w:rsidR="00CA4935" w:rsidRDefault="00CA4935" w:rsidP="000832E2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CA4935" w:rsidRPr="00CA4935" w:rsidRDefault="00CA4935" w:rsidP="00CA4935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935">
        <w:rPr>
          <w:rFonts w:ascii="Times New Roman" w:hAnsi="Times New Roman" w:cs="Times New Roman"/>
          <w:b/>
          <w:sz w:val="24"/>
          <w:szCs w:val="24"/>
        </w:rPr>
        <w:t>Документация по планировке территории для размещения объекта: «Электростанции на базе газопоршневых генераторных установок для электроснабжения объектов нефтедобычи на приобском месторождении ООО «Газпромнефть-Хантос» Газопровод-отвод от точки врезки в газопровод «ЮП ГПЗ» до ГПЭС ПО Энергоцентра №1»</w:t>
      </w:r>
    </w:p>
    <w:p w:rsidR="00CA4935" w:rsidRPr="00CA4935" w:rsidRDefault="00CA4935" w:rsidP="00CA4935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935">
        <w:rPr>
          <w:rFonts w:ascii="Times New Roman" w:hAnsi="Times New Roman" w:cs="Times New Roman"/>
          <w:b/>
          <w:sz w:val="24"/>
          <w:szCs w:val="24"/>
        </w:rPr>
        <w:t>Основная часть проекта межевания территории</w:t>
      </w: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posOffset>904984</wp:posOffset>
            </wp:positionH>
            <wp:positionV relativeFrom="page">
              <wp:posOffset>2736215</wp:posOffset>
            </wp:positionV>
            <wp:extent cx="6464935" cy="6060440"/>
            <wp:effectExtent l="0" t="0" r="0" b="0"/>
            <wp:wrapNone/>
            <wp:docPr id="2" name="Рисунок 2" descr="C:\Моя\Работа\Прогресс Паритет\ПРОЕКТ ЭЦ1\растры\Untitled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Моя\Работа\Прогресс Паритет\ПРОЕКТ ЭЦ1\растры\Untitled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02" t="39588" r="4870" b="3904"/>
                    <a:stretch/>
                  </pic:blipFill>
                  <pic:spPr bwMode="auto">
                    <a:xfrm>
                      <a:off x="0" y="0"/>
                      <a:ext cx="6464935" cy="6060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CA4935">
      <w:pPr>
        <w:pStyle w:val="Default"/>
        <w:jc w:val="right"/>
      </w:pPr>
    </w:p>
    <w:p w:rsidR="00CA4935" w:rsidRPr="00CA4935" w:rsidRDefault="00CA4935" w:rsidP="00CA4935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935">
        <w:rPr>
          <w:rFonts w:ascii="Times New Roman" w:hAnsi="Times New Roman" w:cs="Times New Roman"/>
          <w:b/>
          <w:sz w:val="24"/>
          <w:szCs w:val="24"/>
        </w:rPr>
        <w:lastRenderedPageBreak/>
        <w:t>Проект межевания территории. Текстовая часть</w:t>
      </w:r>
    </w:p>
    <w:p w:rsidR="00CA4935" w:rsidRPr="00CA4935" w:rsidRDefault="00CA4935" w:rsidP="00CA4935">
      <w:pPr>
        <w:pStyle w:val="1"/>
        <w:spacing w:after="0"/>
        <w:rPr>
          <w:szCs w:val="24"/>
        </w:rPr>
      </w:pPr>
      <w:bookmarkStart w:id="79" w:name="_Toc58445164"/>
      <w:bookmarkStart w:id="80" w:name="_Toc66346967"/>
      <w:r w:rsidRPr="00CA4935">
        <w:rPr>
          <w:szCs w:val="24"/>
        </w:rPr>
        <w:t>1. Перечень образуемых земельных участков.</w:t>
      </w:r>
      <w:bookmarkEnd w:id="79"/>
      <w:bookmarkEnd w:id="80"/>
    </w:p>
    <w:p w:rsidR="00CA4935" w:rsidRDefault="00CA4935" w:rsidP="00CA4935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A4935" w:rsidRPr="00CA4935" w:rsidRDefault="00CA4935" w:rsidP="00CA493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4935">
        <w:rPr>
          <w:rFonts w:ascii="Times New Roman" w:hAnsi="Times New Roman" w:cs="Times New Roman"/>
          <w:sz w:val="24"/>
          <w:szCs w:val="24"/>
        </w:rPr>
        <w:t>В рамках настоящего проекта межевания территории не предусмотрено образование земельных участков, также в границах разработки проекта межевания территории отсутствуют земельные участки, в отношении которых предполагаются резервирование и (или) изъятие для государственных или муниципальных нужд.</w:t>
      </w:r>
    </w:p>
    <w:p w:rsidR="00CA4935" w:rsidRPr="00CA4935" w:rsidRDefault="00CA4935" w:rsidP="00CA493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4935">
        <w:rPr>
          <w:rFonts w:ascii="Times New Roman" w:hAnsi="Times New Roman" w:cs="Times New Roman"/>
          <w:sz w:val="24"/>
          <w:szCs w:val="24"/>
        </w:rPr>
        <w:t>В рамках разработки проекта межевания территории не предусмотрено образование сервитута, публичного сервитута.</w:t>
      </w:r>
    </w:p>
    <w:p w:rsidR="00CA4935" w:rsidRPr="00CA4935" w:rsidRDefault="00CA4935" w:rsidP="00CA493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4935">
        <w:rPr>
          <w:rFonts w:ascii="Times New Roman" w:hAnsi="Times New Roman" w:cs="Times New Roman"/>
          <w:sz w:val="24"/>
          <w:szCs w:val="24"/>
        </w:rPr>
        <w:t xml:space="preserve">Для размещения линейного объекта ООО «Аггреко Евразия» заключили соглашение об установлении сервитута в отношении земельного участка 86:02:1401001:1826 (с номером в лесном реестре: 86/09/010/2014-08/00197) с ООО «Газпромнефть-Хантос» (право аренды на основании договора аренды земельного участка от 11.08.2014 г. №0153/14-10-ДА, заключенного сроком до 18.01.2038 г.). </w:t>
      </w:r>
    </w:p>
    <w:p w:rsidR="00CA4935" w:rsidRPr="00CA4935" w:rsidRDefault="00CA4935" w:rsidP="00CA4935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  <w:sectPr w:rsidR="00CA4935" w:rsidRPr="00CA4935" w:rsidSect="00CA4935">
          <w:footerReference w:type="default" r:id="rId10"/>
          <w:headerReference w:type="first" r:id="rId11"/>
          <w:pgSz w:w="11906" w:h="16838"/>
          <w:pgMar w:top="720" w:right="850" w:bottom="568" w:left="1701" w:header="340" w:footer="708" w:gutter="0"/>
          <w:cols w:space="708"/>
          <w:titlePg/>
          <w:docGrid w:linePitch="360"/>
        </w:sectPr>
      </w:pPr>
    </w:p>
    <w:p w:rsidR="00CA4935" w:rsidRPr="00CA4935" w:rsidRDefault="00CA4935" w:rsidP="00CA4935">
      <w:pPr>
        <w:pStyle w:val="1"/>
        <w:spacing w:after="0"/>
        <w:rPr>
          <w:szCs w:val="24"/>
        </w:rPr>
      </w:pPr>
      <w:bookmarkStart w:id="81" w:name="_Toc58445167"/>
      <w:bookmarkStart w:id="82" w:name="_Toc66346968"/>
      <w:r w:rsidRPr="00CA4935">
        <w:rPr>
          <w:szCs w:val="24"/>
        </w:rPr>
        <w:lastRenderedPageBreak/>
        <w:t>2. Сведения о границах территории, применительно к которой осуществляется подготовка проекта межевания, содержащие перечень координат характерных точек таких границ в системе координат, используемой для ведения Единого государственного реестра недвижимости.</w:t>
      </w:r>
      <w:bookmarkEnd w:id="81"/>
      <w:bookmarkEnd w:id="82"/>
      <w:r w:rsidRPr="00CA4935">
        <w:rPr>
          <w:szCs w:val="24"/>
        </w:rPr>
        <w:t xml:space="preserve"> </w:t>
      </w:r>
    </w:p>
    <w:p w:rsidR="00CA4935" w:rsidRDefault="00CA4935" w:rsidP="00CA4935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A4935" w:rsidRPr="00CA4935" w:rsidRDefault="00CA4935" w:rsidP="00CA493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4935">
        <w:rPr>
          <w:rFonts w:ascii="Times New Roman" w:hAnsi="Times New Roman" w:cs="Times New Roman"/>
          <w:sz w:val="24"/>
          <w:szCs w:val="24"/>
        </w:rPr>
        <w:t>Граница проекта межевания территории располагается на межселенной территории Ханты-Мансийского автономного округа Тюменской области.</w:t>
      </w:r>
    </w:p>
    <w:p w:rsidR="00CA4935" w:rsidRPr="00CA4935" w:rsidRDefault="00CA4935" w:rsidP="00CA4935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 w:rsidRPr="00CA4935">
        <w:rPr>
          <w:rFonts w:ascii="Times New Roman" w:hAnsi="Times New Roman" w:cs="Times New Roman"/>
          <w:sz w:val="24"/>
          <w:szCs w:val="24"/>
        </w:rPr>
        <w:t>Таблица № 2.1</w:t>
      </w:r>
    </w:p>
    <w:p w:rsidR="00CA4935" w:rsidRPr="00CA4935" w:rsidRDefault="00CA4935" w:rsidP="00CA4935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CA4935">
        <w:rPr>
          <w:rFonts w:ascii="Times New Roman" w:hAnsi="Times New Roman" w:cs="Times New Roman"/>
          <w:sz w:val="24"/>
          <w:szCs w:val="24"/>
        </w:rPr>
        <w:t>Перечень координат характерных точек границ проекта межевания</w:t>
      </w:r>
    </w:p>
    <w:p w:rsidR="00CA4935" w:rsidRPr="00CA4935" w:rsidRDefault="00CA4935" w:rsidP="00CA4935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CA4935">
        <w:rPr>
          <w:rFonts w:ascii="Times New Roman" w:hAnsi="Times New Roman" w:cs="Times New Roman"/>
          <w:sz w:val="24"/>
          <w:szCs w:val="24"/>
        </w:rPr>
        <w:t>(Система координат МСК 86)</w:t>
      </w:r>
    </w:p>
    <w:p w:rsidR="00CA4935" w:rsidRPr="00CA4935" w:rsidRDefault="00CA4935" w:rsidP="00CA4935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A4935" w:rsidRPr="00CA4935" w:rsidRDefault="00CA4935" w:rsidP="00CA4935">
      <w:pPr>
        <w:spacing w:after="0"/>
        <w:ind w:left="-118" w:right="-65"/>
        <w:jc w:val="center"/>
        <w:rPr>
          <w:rFonts w:ascii="Times New Roman" w:hAnsi="Times New Roman" w:cs="Times New Roman"/>
          <w:b/>
          <w:sz w:val="24"/>
          <w:szCs w:val="24"/>
        </w:rPr>
        <w:sectPr w:rsidR="00CA4935" w:rsidRPr="00CA4935" w:rsidSect="00414309">
          <w:footerReference w:type="default" r:id="rId12"/>
          <w:headerReference w:type="first" r:id="rId13"/>
          <w:type w:val="continuous"/>
          <w:pgSz w:w="11906" w:h="16838"/>
          <w:pgMar w:top="720" w:right="850" w:bottom="1620" w:left="1701" w:header="340" w:footer="708" w:gutter="0"/>
          <w:cols w:space="708"/>
          <w:docGrid w:linePitch="360"/>
        </w:sect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84"/>
        <w:gridCol w:w="1594"/>
        <w:gridCol w:w="1735"/>
      </w:tblGrid>
      <w:tr w:rsidR="00CA4935" w:rsidRPr="00CA4935" w:rsidTr="00270928">
        <w:trPr>
          <w:trHeight w:val="255"/>
        </w:trPr>
        <w:tc>
          <w:tcPr>
            <w:tcW w:w="1141" w:type="pct"/>
            <w:vMerge w:val="restart"/>
            <w:vAlign w:val="center"/>
            <w:hideMark/>
          </w:tcPr>
          <w:p w:rsidR="00CA4935" w:rsidRPr="00CA4935" w:rsidRDefault="00CA4935" w:rsidP="00CA4935">
            <w:pPr>
              <w:spacing w:after="0"/>
              <w:ind w:left="-118" w:right="-65" w:firstLine="6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Номер точки</w:t>
            </w:r>
          </w:p>
        </w:tc>
        <w:tc>
          <w:tcPr>
            <w:tcW w:w="3859" w:type="pct"/>
            <w:gridSpan w:val="2"/>
            <w:noWrap/>
            <w:vAlign w:val="center"/>
            <w:hideMark/>
          </w:tcPr>
          <w:p w:rsidR="00CA4935" w:rsidRPr="00CA4935" w:rsidRDefault="00CA4935" w:rsidP="00CA4935">
            <w:pPr>
              <w:spacing w:after="0"/>
              <w:ind w:right="-3" w:firstLine="6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b/>
                <w:sz w:val="24"/>
                <w:szCs w:val="24"/>
              </w:rPr>
              <w:t>Координаты</w:t>
            </w:r>
          </w:p>
        </w:tc>
      </w:tr>
      <w:tr w:rsidR="00CA4935" w:rsidRPr="00CA4935" w:rsidTr="00270928">
        <w:trPr>
          <w:trHeight w:val="270"/>
        </w:trPr>
        <w:tc>
          <w:tcPr>
            <w:tcW w:w="1141" w:type="pct"/>
            <w:vMerge/>
            <w:vAlign w:val="center"/>
            <w:hideMark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48" w:type="pct"/>
            <w:noWrap/>
            <w:vAlign w:val="center"/>
            <w:hideMark/>
          </w:tcPr>
          <w:p w:rsidR="00CA4935" w:rsidRPr="00CA4935" w:rsidRDefault="00CA4935" w:rsidP="00CA4935">
            <w:pPr>
              <w:spacing w:after="0"/>
              <w:ind w:right="-3" w:firstLine="6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b/>
                <w:sz w:val="24"/>
                <w:szCs w:val="24"/>
              </w:rPr>
              <w:t>X</w:t>
            </w:r>
          </w:p>
        </w:tc>
        <w:tc>
          <w:tcPr>
            <w:tcW w:w="2011" w:type="pct"/>
            <w:noWrap/>
            <w:vAlign w:val="center"/>
            <w:hideMark/>
          </w:tcPr>
          <w:p w:rsidR="00CA4935" w:rsidRPr="00CA4935" w:rsidRDefault="00CA4935" w:rsidP="00CA4935">
            <w:pPr>
              <w:spacing w:after="0"/>
              <w:ind w:right="-3" w:firstLine="6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b/>
                <w:sz w:val="24"/>
                <w:szCs w:val="24"/>
              </w:rPr>
              <w:t>У</w:t>
            </w:r>
          </w:p>
        </w:tc>
      </w:tr>
      <w:tr w:rsidR="00CA4935" w:rsidRPr="00CA4935" w:rsidTr="00270928">
        <w:trPr>
          <w:trHeight w:val="255"/>
        </w:trPr>
        <w:tc>
          <w:tcPr>
            <w:tcW w:w="114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8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931093.56</w:t>
            </w:r>
          </w:p>
        </w:tc>
        <w:tc>
          <w:tcPr>
            <w:tcW w:w="201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2710311.84</w:t>
            </w:r>
          </w:p>
        </w:tc>
      </w:tr>
      <w:tr w:rsidR="00CA4935" w:rsidRPr="00CA4935" w:rsidTr="00270928">
        <w:trPr>
          <w:trHeight w:val="255"/>
        </w:trPr>
        <w:tc>
          <w:tcPr>
            <w:tcW w:w="114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8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931106.55</w:t>
            </w:r>
          </w:p>
        </w:tc>
        <w:tc>
          <w:tcPr>
            <w:tcW w:w="201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2710603.00</w:t>
            </w:r>
          </w:p>
        </w:tc>
      </w:tr>
      <w:tr w:rsidR="00CA4935" w:rsidRPr="00CA4935" w:rsidTr="00270928">
        <w:trPr>
          <w:trHeight w:val="255"/>
        </w:trPr>
        <w:tc>
          <w:tcPr>
            <w:tcW w:w="114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848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931108.07</w:t>
            </w:r>
          </w:p>
        </w:tc>
        <w:tc>
          <w:tcPr>
            <w:tcW w:w="201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2710618.73</w:t>
            </w:r>
          </w:p>
        </w:tc>
      </w:tr>
      <w:tr w:rsidR="00CA4935" w:rsidRPr="00CA4935" w:rsidTr="00270928">
        <w:trPr>
          <w:trHeight w:val="255"/>
        </w:trPr>
        <w:tc>
          <w:tcPr>
            <w:tcW w:w="114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848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931114.76</w:t>
            </w:r>
          </w:p>
        </w:tc>
        <w:tc>
          <w:tcPr>
            <w:tcW w:w="201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2710756.56</w:t>
            </w:r>
          </w:p>
        </w:tc>
      </w:tr>
      <w:tr w:rsidR="00CA4935" w:rsidRPr="00CA4935" w:rsidTr="00270928">
        <w:trPr>
          <w:trHeight w:val="255"/>
        </w:trPr>
        <w:tc>
          <w:tcPr>
            <w:tcW w:w="114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848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931128.81</w:t>
            </w:r>
          </w:p>
        </w:tc>
        <w:tc>
          <w:tcPr>
            <w:tcW w:w="201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2711084.67</w:t>
            </w:r>
          </w:p>
        </w:tc>
      </w:tr>
      <w:tr w:rsidR="00CA4935" w:rsidRPr="00CA4935" w:rsidTr="00270928">
        <w:trPr>
          <w:trHeight w:val="255"/>
        </w:trPr>
        <w:tc>
          <w:tcPr>
            <w:tcW w:w="114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848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931090.41</w:t>
            </w:r>
          </w:p>
        </w:tc>
        <w:tc>
          <w:tcPr>
            <w:tcW w:w="201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2711089.20</w:t>
            </w:r>
          </w:p>
        </w:tc>
      </w:tr>
      <w:tr w:rsidR="00CA4935" w:rsidRPr="00CA4935" w:rsidTr="00270928">
        <w:trPr>
          <w:trHeight w:val="255"/>
        </w:trPr>
        <w:tc>
          <w:tcPr>
            <w:tcW w:w="114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848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931107.32</w:t>
            </w:r>
          </w:p>
        </w:tc>
        <w:tc>
          <w:tcPr>
            <w:tcW w:w="201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2711177.24</w:t>
            </w:r>
          </w:p>
        </w:tc>
      </w:tr>
      <w:tr w:rsidR="00CA4935" w:rsidRPr="00CA4935" w:rsidTr="00270928">
        <w:trPr>
          <w:trHeight w:val="255"/>
        </w:trPr>
        <w:tc>
          <w:tcPr>
            <w:tcW w:w="114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848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931121.16</w:t>
            </w:r>
          </w:p>
        </w:tc>
        <w:tc>
          <w:tcPr>
            <w:tcW w:w="201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2711249.62</w:t>
            </w:r>
          </w:p>
        </w:tc>
      </w:tr>
      <w:tr w:rsidR="00CA4935" w:rsidRPr="00CA4935" w:rsidTr="00270928">
        <w:trPr>
          <w:trHeight w:val="255"/>
        </w:trPr>
        <w:tc>
          <w:tcPr>
            <w:tcW w:w="114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848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931138.56</w:t>
            </w:r>
          </w:p>
        </w:tc>
        <w:tc>
          <w:tcPr>
            <w:tcW w:w="201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2711247.75</w:t>
            </w:r>
          </w:p>
        </w:tc>
      </w:tr>
      <w:tr w:rsidR="00CA4935" w:rsidRPr="00CA4935" w:rsidTr="00270928">
        <w:trPr>
          <w:trHeight w:val="255"/>
        </w:trPr>
        <w:tc>
          <w:tcPr>
            <w:tcW w:w="114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848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931158.03</w:t>
            </w:r>
          </w:p>
        </w:tc>
        <w:tc>
          <w:tcPr>
            <w:tcW w:w="201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2711647.64</w:t>
            </w:r>
          </w:p>
        </w:tc>
      </w:tr>
      <w:tr w:rsidR="00CA4935" w:rsidRPr="00CA4935" w:rsidTr="00270928">
        <w:trPr>
          <w:trHeight w:val="255"/>
        </w:trPr>
        <w:tc>
          <w:tcPr>
            <w:tcW w:w="114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848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931083.24</w:t>
            </w:r>
          </w:p>
        </w:tc>
        <w:tc>
          <w:tcPr>
            <w:tcW w:w="201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2711650.68</w:t>
            </w:r>
          </w:p>
        </w:tc>
      </w:tr>
      <w:tr w:rsidR="00CA4935" w:rsidRPr="00CA4935" w:rsidTr="00270928">
        <w:trPr>
          <w:trHeight w:val="255"/>
        </w:trPr>
        <w:tc>
          <w:tcPr>
            <w:tcW w:w="114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848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931029.94</w:t>
            </w:r>
          </w:p>
        </w:tc>
        <w:tc>
          <w:tcPr>
            <w:tcW w:w="201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2711402.48</w:t>
            </w:r>
          </w:p>
        </w:tc>
      </w:tr>
      <w:tr w:rsidR="00CA4935" w:rsidRPr="00CA4935" w:rsidTr="00270928">
        <w:trPr>
          <w:trHeight w:val="255"/>
        </w:trPr>
        <w:tc>
          <w:tcPr>
            <w:tcW w:w="114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848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931017.76</w:t>
            </w:r>
          </w:p>
        </w:tc>
        <w:tc>
          <w:tcPr>
            <w:tcW w:w="201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2711137.30</w:t>
            </w:r>
          </w:p>
        </w:tc>
      </w:tr>
      <w:tr w:rsidR="00CA4935" w:rsidRPr="00CA4935" w:rsidTr="00270928">
        <w:trPr>
          <w:trHeight w:val="255"/>
        </w:trPr>
        <w:tc>
          <w:tcPr>
            <w:tcW w:w="114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848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931011.34</w:t>
            </w:r>
          </w:p>
        </w:tc>
        <w:tc>
          <w:tcPr>
            <w:tcW w:w="201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2710997.84</w:t>
            </w:r>
          </w:p>
        </w:tc>
      </w:tr>
      <w:tr w:rsidR="00CA4935" w:rsidRPr="00CA4935" w:rsidTr="00270928">
        <w:trPr>
          <w:trHeight w:val="255"/>
        </w:trPr>
        <w:tc>
          <w:tcPr>
            <w:tcW w:w="114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848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930972.14</w:t>
            </w:r>
          </w:p>
        </w:tc>
        <w:tc>
          <w:tcPr>
            <w:tcW w:w="201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2710999.46</w:t>
            </w:r>
          </w:p>
        </w:tc>
      </w:tr>
      <w:tr w:rsidR="00CA4935" w:rsidRPr="00CA4935" w:rsidTr="00270928">
        <w:trPr>
          <w:trHeight w:val="255"/>
        </w:trPr>
        <w:tc>
          <w:tcPr>
            <w:tcW w:w="114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848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930990.36</w:t>
            </w:r>
          </w:p>
        </w:tc>
        <w:tc>
          <w:tcPr>
            <w:tcW w:w="201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2711410.52</w:t>
            </w:r>
          </w:p>
        </w:tc>
      </w:tr>
      <w:tr w:rsidR="00CA4935" w:rsidRPr="00CA4935" w:rsidTr="00270928">
        <w:trPr>
          <w:trHeight w:val="255"/>
        </w:trPr>
        <w:tc>
          <w:tcPr>
            <w:tcW w:w="114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848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931000.78</w:t>
            </w:r>
          </w:p>
        </w:tc>
        <w:tc>
          <w:tcPr>
            <w:tcW w:w="201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2711654.29</w:t>
            </w:r>
          </w:p>
        </w:tc>
      </w:tr>
      <w:tr w:rsidR="00CA4935" w:rsidRPr="00CA4935" w:rsidTr="00270928">
        <w:trPr>
          <w:trHeight w:val="255"/>
        </w:trPr>
        <w:tc>
          <w:tcPr>
            <w:tcW w:w="114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848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931003.08</w:t>
            </w:r>
          </w:p>
        </w:tc>
        <w:tc>
          <w:tcPr>
            <w:tcW w:w="201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2711698.80</w:t>
            </w:r>
          </w:p>
        </w:tc>
      </w:tr>
      <w:tr w:rsidR="00CA4935" w:rsidRPr="00CA4935" w:rsidTr="00270928">
        <w:trPr>
          <w:trHeight w:val="255"/>
        </w:trPr>
        <w:tc>
          <w:tcPr>
            <w:tcW w:w="114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848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931005.66</w:t>
            </w:r>
          </w:p>
        </w:tc>
        <w:tc>
          <w:tcPr>
            <w:tcW w:w="201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2711748.68</w:t>
            </w:r>
          </w:p>
        </w:tc>
      </w:tr>
      <w:tr w:rsidR="00CA4935" w:rsidRPr="00CA4935" w:rsidTr="00270928">
        <w:trPr>
          <w:trHeight w:val="255"/>
        </w:trPr>
        <w:tc>
          <w:tcPr>
            <w:tcW w:w="114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848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931012.22</w:t>
            </w:r>
          </w:p>
        </w:tc>
        <w:tc>
          <w:tcPr>
            <w:tcW w:w="201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2712032.42</w:t>
            </w:r>
          </w:p>
        </w:tc>
      </w:tr>
      <w:tr w:rsidR="00CA4935" w:rsidRPr="00CA4935" w:rsidTr="00270928">
        <w:trPr>
          <w:trHeight w:val="255"/>
        </w:trPr>
        <w:tc>
          <w:tcPr>
            <w:tcW w:w="114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848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930924.64</w:t>
            </w:r>
          </w:p>
        </w:tc>
        <w:tc>
          <w:tcPr>
            <w:tcW w:w="201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2712071.24</w:t>
            </w:r>
          </w:p>
        </w:tc>
      </w:tr>
      <w:tr w:rsidR="00CA4935" w:rsidRPr="00CA4935" w:rsidTr="00270928">
        <w:trPr>
          <w:trHeight w:val="255"/>
        </w:trPr>
        <w:tc>
          <w:tcPr>
            <w:tcW w:w="114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22</w:t>
            </w:r>
          </w:p>
        </w:tc>
        <w:tc>
          <w:tcPr>
            <w:tcW w:w="1848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930892.00</w:t>
            </w:r>
          </w:p>
        </w:tc>
        <w:tc>
          <w:tcPr>
            <w:tcW w:w="201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2711754.80</w:t>
            </w:r>
          </w:p>
        </w:tc>
      </w:tr>
      <w:tr w:rsidR="00CA4935" w:rsidRPr="00CA4935" w:rsidTr="00270928">
        <w:trPr>
          <w:trHeight w:val="255"/>
        </w:trPr>
        <w:tc>
          <w:tcPr>
            <w:tcW w:w="114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848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931004.62</w:t>
            </w:r>
          </w:p>
        </w:tc>
        <w:tc>
          <w:tcPr>
            <w:tcW w:w="201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2711748.72</w:t>
            </w:r>
          </w:p>
        </w:tc>
      </w:tr>
      <w:tr w:rsidR="00CA4935" w:rsidRPr="00CA4935" w:rsidTr="00270928">
        <w:trPr>
          <w:trHeight w:val="255"/>
        </w:trPr>
        <w:tc>
          <w:tcPr>
            <w:tcW w:w="114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848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931002.06</w:t>
            </w:r>
          </w:p>
        </w:tc>
        <w:tc>
          <w:tcPr>
            <w:tcW w:w="201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2711699.00</w:t>
            </w:r>
          </w:p>
        </w:tc>
      </w:tr>
      <w:tr w:rsidR="00CA4935" w:rsidRPr="00CA4935" w:rsidTr="00270928">
        <w:trPr>
          <w:trHeight w:val="255"/>
        </w:trPr>
        <w:tc>
          <w:tcPr>
            <w:tcW w:w="114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848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930999.78</w:t>
            </w:r>
          </w:p>
        </w:tc>
        <w:tc>
          <w:tcPr>
            <w:tcW w:w="201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2711654.34</w:t>
            </w:r>
          </w:p>
        </w:tc>
      </w:tr>
      <w:tr w:rsidR="00CA4935" w:rsidRPr="00CA4935" w:rsidTr="00270928">
        <w:trPr>
          <w:trHeight w:val="255"/>
        </w:trPr>
        <w:tc>
          <w:tcPr>
            <w:tcW w:w="114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848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930960.72</w:t>
            </w:r>
          </w:p>
        </w:tc>
        <w:tc>
          <w:tcPr>
            <w:tcW w:w="201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2711654.06</w:t>
            </w:r>
          </w:p>
        </w:tc>
      </w:tr>
      <w:tr w:rsidR="00CA4935" w:rsidRPr="00CA4935" w:rsidTr="00270928">
        <w:trPr>
          <w:trHeight w:val="255"/>
        </w:trPr>
        <w:tc>
          <w:tcPr>
            <w:tcW w:w="114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848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930876.34</w:t>
            </w:r>
          </w:p>
        </w:tc>
        <w:tc>
          <w:tcPr>
            <w:tcW w:w="201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2711427.48</w:t>
            </w:r>
          </w:p>
        </w:tc>
      </w:tr>
      <w:tr w:rsidR="00CA4935" w:rsidRPr="00CA4935" w:rsidTr="00270928">
        <w:trPr>
          <w:trHeight w:val="255"/>
        </w:trPr>
        <w:tc>
          <w:tcPr>
            <w:tcW w:w="114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848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930744.14</w:t>
            </w:r>
          </w:p>
        </w:tc>
        <w:tc>
          <w:tcPr>
            <w:tcW w:w="201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2711072.40</w:t>
            </w:r>
          </w:p>
        </w:tc>
      </w:tr>
      <w:tr w:rsidR="00CA4935" w:rsidRPr="00CA4935" w:rsidTr="00270928">
        <w:trPr>
          <w:trHeight w:val="255"/>
        </w:trPr>
        <w:tc>
          <w:tcPr>
            <w:tcW w:w="114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848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930748.18</w:t>
            </w:r>
          </w:p>
        </w:tc>
        <w:tc>
          <w:tcPr>
            <w:tcW w:w="201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2711068.50</w:t>
            </w:r>
          </w:p>
        </w:tc>
      </w:tr>
      <w:tr w:rsidR="00CA4935" w:rsidRPr="00CA4935" w:rsidTr="00270928">
        <w:trPr>
          <w:trHeight w:val="255"/>
        </w:trPr>
        <w:tc>
          <w:tcPr>
            <w:tcW w:w="114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848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930891.00</w:t>
            </w:r>
          </w:p>
        </w:tc>
        <w:tc>
          <w:tcPr>
            <w:tcW w:w="201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2710930.37</w:t>
            </w:r>
          </w:p>
        </w:tc>
      </w:tr>
      <w:tr w:rsidR="00CA4935" w:rsidRPr="00CA4935" w:rsidTr="00270928">
        <w:trPr>
          <w:trHeight w:val="255"/>
        </w:trPr>
        <w:tc>
          <w:tcPr>
            <w:tcW w:w="114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848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930894.35</w:t>
            </w:r>
          </w:p>
        </w:tc>
        <w:tc>
          <w:tcPr>
            <w:tcW w:w="201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2710731.97</w:t>
            </w:r>
          </w:p>
        </w:tc>
      </w:tr>
      <w:tr w:rsidR="00CA4935" w:rsidRPr="00CA4935" w:rsidTr="00270928">
        <w:trPr>
          <w:trHeight w:val="255"/>
        </w:trPr>
        <w:tc>
          <w:tcPr>
            <w:tcW w:w="114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848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930685.88</w:t>
            </w:r>
          </w:p>
        </w:tc>
        <w:tc>
          <w:tcPr>
            <w:tcW w:w="201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2710714.79</w:t>
            </w:r>
          </w:p>
        </w:tc>
      </w:tr>
      <w:tr w:rsidR="00CA4935" w:rsidRPr="00CA4935" w:rsidTr="00270928">
        <w:trPr>
          <w:trHeight w:val="255"/>
        </w:trPr>
        <w:tc>
          <w:tcPr>
            <w:tcW w:w="114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848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930685.11</w:t>
            </w:r>
          </w:p>
        </w:tc>
        <w:tc>
          <w:tcPr>
            <w:tcW w:w="2011" w:type="pct"/>
            <w:noWrap/>
            <w:vAlign w:val="bottom"/>
          </w:tcPr>
          <w:p w:rsidR="00CA4935" w:rsidRPr="00CA4935" w:rsidRDefault="00CA4935" w:rsidP="00CA4935">
            <w:pPr>
              <w:spacing w:after="0"/>
              <w:ind w:firstLine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2710429.55</w:t>
            </w:r>
          </w:p>
        </w:tc>
      </w:tr>
    </w:tbl>
    <w:p w:rsidR="00CA4935" w:rsidRPr="00CA4935" w:rsidRDefault="00CA4935" w:rsidP="00CA4935">
      <w:pPr>
        <w:pStyle w:val="1"/>
        <w:spacing w:after="0"/>
        <w:rPr>
          <w:szCs w:val="24"/>
        </w:rPr>
        <w:sectPr w:rsidR="00CA4935" w:rsidRPr="00CA4935" w:rsidSect="00BF6ED6">
          <w:type w:val="continuous"/>
          <w:pgSz w:w="11906" w:h="16838"/>
          <w:pgMar w:top="720" w:right="850" w:bottom="1620" w:left="1701" w:header="340" w:footer="708" w:gutter="0"/>
          <w:cols w:num="2" w:space="708"/>
          <w:docGrid w:linePitch="360"/>
        </w:sectPr>
      </w:pPr>
      <w:bookmarkStart w:id="83" w:name="_Toc58445168"/>
    </w:p>
    <w:p w:rsidR="00CA4935" w:rsidRDefault="00CA4935" w:rsidP="00CA4935">
      <w:pPr>
        <w:pStyle w:val="1"/>
        <w:spacing w:after="0"/>
        <w:rPr>
          <w:szCs w:val="24"/>
        </w:rPr>
      </w:pPr>
      <w:bookmarkStart w:id="84" w:name="_Toc66346969"/>
      <w:r w:rsidRPr="00CA4935">
        <w:rPr>
          <w:szCs w:val="24"/>
        </w:rPr>
        <w:lastRenderedPageBreak/>
        <w:t>3. Вид разрешенного использования образуемых земельных участков, предназначенных для размещения линейных объектов и объектов капитального строительства, проектируемых в составе линейного объекта, а также существующих земельных участков, занятых линейными объектами и объектами капитального строительства, входящими в состав линейных объектов, в соответствии с проектом планировки территории</w:t>
      </w:r>
      <w:bookmarkEnd w:id="83"/>
      <w:bookmarkEnd w:id="84"/>
    </w:p>
    <w:p w:rsidR="00CA4935" w:rsidRPr="00CA4935" w:rsidRDefault="00CA4935" w:rsidP="00CA4935">
      <w:pPr>
        <w:rPr>
          <w:lang w:eastAsia="ru-RU"/>
        </w:rPr>
      </w:pPr>
    </w:p>
    <w:tbl>
      <w:tblPr>
        <w:tblW w:w="515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20"/>
        <w:gridCol w:w="4110"/>
        <w:gridCol w:w="5105"/>
      </w:tblGrid>
      <w:tr w:rsidR="00CA4935" w:rsidRPr="00CA4935" w:rsidTr="00270928">
        <w:trPr>
          <w:cantSplit/>
          <w:trHeight w:val="579"/>
        </w:trPr>
        <w:tc>
          <w:tcPr>
            <w:tcW w:w="218" w:type="pct"/>
            <w:vAlign w:val="center"/>
          </w:tcPr>
          <w:p w:rsidR="00CA4935" w:rsidRPr="00CA4935" w:rsidRDefault="00CA4935" w:rsidP="00CA4935">
            <w:pPr>
              <w:spacing w:after="0"/>
              <w:ind w:left="-142" w:right="-101" w:hanging="9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2133" w:type="pct"/>
            <w:vAlign w:val="center"/>
            <w:hideMark/>
          </w:tcPr>
          <w:p w:rsidR="00CA4935" w:rsidRPr="00CA4935" w:rsidRDefault="00CA4935" w:rsidP="00CA4935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b/>
                <w:color w:val="2D2D2D"/>
                <w:spacing w:val="2"/>
                <w:sz w:val="24"/>
                <w:szCs w:val="24"/>
              </w:rPr>
              <w:t>Существующие земельные участки, занятые линейными объектами</w:t>
            </w:r>
          </w:p>
        </w:tc>
        <w:tc>
          <w:tcPr>
            <w:tcW w:w="2649" w:type="pct"/>
            <w:vAlign w:val="center"/>
          </w:tcPr>
          <w:p w:rsidR="00CA4935" w:rsidRPr="00CA4935" w:rsidRDefault="00CA4935" w:rsidP="00CA4935">
            <w:pPr>
              <w:spacing w:after="0"/>
              <w:ind w:left="-95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b/>
                <w:sz w:val="24"/>
                <w:szCs w:val="24"/>
              </w:rPr>
              <w:t>Вид разрешенного использования ЗУ</w:t>
            </w:r>
          </w:p>
        </w:tc>
      </w:tr>
      <w:tr w:rsidR="00CA4935" w:rsidRPr="00CA4935" w:rsidTr="00270928">
        <w:trPr>
          <w:cantSplit/>
          <w:trHeight w:val="765"/>
        </w:trPr>
        <w:tc>
          <w:tcPr>
            <w:tcW w:w="218" w:type="pct"/>
            <w:vAlign w:val="center"/>
          </w:tcPr>
          <w:p w:rsidR="00CA4935" w:rsidRPr="00CA4935" w:rsidRDefault="00CA4935" w:rsidP="00CA4935">
            <w:pPr>
              <w:spacing w:after="0"/>
              <w:ind w:left="-142" w:right="-101" w:hanging="9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2133" w:type="pct"/>
            <w:vAlign w:val="center"/>
          </w:tcPr>
          <w:p w:rsidR="00CA4935" w:rsidRPr="00CA4935" w:rsidRDefault="00CA4935" w:rsidP="00CA4935">
            <w:pPr>
              <w:spacing w:after="0"/>
              <w:ind w:left="-115" w:right="-14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86:02:1401001:1826</w:t>
            </w:r>
          </w:p>
        </w:tc>
        <w:tc>
          <w:tcPr>
            <w:tcW w:w="2649" w:type="pct"/>
            <w:vAlign w:val="center"/>
          </w:tcPr>
          <w:p w:rsidR="00CA4935" w:rsidRPr="00CA4935" w:rsidRDefault="00CA4935" w:rsidP="00CA4935">
            <w:pPr>
              <w:spacing w:after="0"/>
              <w:ind w:left="-9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4935">
              <w:rPr>
                <w:rFonts w:ascii="Times New Roman" w:hAnsi="Times New Roman" w:cs="Times New Roman"/>
                <w:sz w:val="24"/>
                <w:szCs w:val="24"/>
              </w:rPr>
              <w:t>Строительство, реконструкция, эксплуатация линейных объектов, заготовка древесины</w:t>
            </w:r>
          </w:p>
        </w:tc>
      </w:tr>
    </w:tbl>
    <w:p w:rsidR="00CA4935" w:rsidRDefault="00CA4935" w:rsidP="00CA493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CA4935" w:rsidRDefault="00CA4935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832E2" w:rsidRPr="000832E2" w:rsidRDefault="000832E2" w:rsidP="000832E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sectPr w:rsidR="000832E2" w:rsidRPr="000832E2" w:rsidSect="00F73EBF">
      <w:pgSz w:w="11906" w:h="16838"/>
      <w:pgMar w:top="720" w:right="850" w:bottom="1620" w:left="1701" w:header="340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D6086" w:rsidRDefault="003D6086" w:rsidP="004E2467">
      <w:pPr>
        <w:spacing w:after="0" w:line="240" w:lineRule="auto"/>
      </w:pPr>
      <w:r>
        <w:separator/>
      </w:r>
    </w:p>
  </w:endnote>
  <w:endnote w:type="continuationSeparator" w:id="0">
    <w:p w:rsidR="003D6086" w:rsidRDefault="003D6086" w:rsidP="004E24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GOST Type AU">
    <w:altName w:val="Times New Roman"/>
    <w:panose1 w:val="02000306020200020003"/>
    <w:charset w:val="CC"/>
    <w:family w:val="auto"/>
    <w:pitch w:val="variable"/>
    <w:sig w:usb0="A000028F" w:usb1="1000004A" w:usb2="00000000" w:usb3="00000000" w:csb0="0000019F" w:csb1="00000000"/>
  </w:font>
  <w:font w:name="Arial,Italic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yandex-sans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73EBF" w:rsidRDefault="00F73EBF" w:rsidP="00810370">
    <w:pPr>
      <w:pStyle w:val="a8"/>
      <w:tabs>
        <w:tab w:val="clear" w:pos="4153"/>
        <w:tab w:val="clear" w:pos="8306"/>
        <w:tab w:val="right" w:pos="9638"/>
      </w:tabs>
      <w:ind w:left="-1440" w:firstLine="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A4935" w:rsidRDefault="00CA4935" w:rsidP="00810370">
    <w:pPr>
      <w:pStyle w:val="a8"/>
      <w:tabs>
        <w:tab w:val="clear" w:pos="4153"/>
        <w:tab w:val="clear" w:pos="8306"/>
        <w:tab w:val="right" w:pos="9638"/>
      </w:tabs>
      <w:ind w:left="-1440" w:firstLine="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A4935" w:rsidRDefault="00CA4935" w:rsidP="00810370">
    <w:pPr>
      <w:pStyle w:val="a8"/>
      <w:tabs>
        <w:tab w:val="clear" w:pos="4153"/>
        <w:tab w:val="clear" w:pos="8306"/>
        <w:tab w:val="right" w:pos="9638"/>
      </w:tabs>
      <w:ind w:left="-1440" w:firstLine="0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1" locked="1" layoutInCell="1" allowOverlap="1" wp14:anchorId="0901B5A7" wp14:editId="21A26D0F">
              <wp:simplePos x="0" y="0"/>
              <wp:positionH relativeFrom="page">
                <wp:posOffset>165735</wp:posOffset>
              </wp:positionH>
              <wp:positionV relativeFrom="page">
                <wp:posOffset>114300</wp:posOffset>
              </wp:positionV>
              <wp:extent cx="7919720" cy="11160125"/>
              <wp:effectExtent l="3810" t="0" r="1270" b="3175"/>
              <wp:wrapNone/>
              <wp:docPr id="7" name="Надпись 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spect="1" noChangeArrowheads="1"/>
                    </wps:cNvSpPr>
                    <wps:spPr bwMode="auto">
                      <a:xfrm>
                        <a:off x="0" y="0"/>
                        <a:ext cx="7919720" cy="111601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A4935" w:rsidRPr="00596B42" w:rsidRDefault="00CA4935" w:rsidP="00810370">
                          <w:pPr>
                            <w:ind w:right="1560"/>
                            <w:jc w:val="right"/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rot="0" vert="horz" wrap="square" lIns="36000" tIns="36000" rIns="36000" bIns="360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w16se="http://schemas.microsoft.com/office/word/2015/wordml/symex">
          <w:pict>
            <v:shapetype w14:anchorId="0901B5A7" id="_x0000_t202" coordsize="21600,21600" o:spt="202" path="m,l,21600r21600,l21600,xe">
              <v:stroke joinstyle="miter"/>
              <v:path gradientshapeok="t" o:connecttype="rect"/>
            </v:shapetype>
            <v:shape id="Надпись 7" o:spid="_x0000_s1026" type="#_x0000_t202" style="position:absolute;left:0;text-align:left;margin-left:13.05pt;margin-top:9pt;width:623.6pt;height:878.75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" stroked="f">
              <o:lock v:ext="edit" aspectratio="t"/>
              <v:textbox inset="1mm,1mm,1mm,1mm">
                <w:txbxContent>
                  <w:p w:rsidR="00CA4935" w:rsidRPr="00596B42" w:rsidRDefault="00CA4935" w:rsidP="00810370">
                    <w:pPr>
                      <w:ind w:right="1560"/>
                      <w:jc w:val="right"/>
                      <w:rPr>
                        <w:rFonts w:ascii="Arial" w:hAnsi="Arial" w:cs="Arial"/>
                        <w:sz w:val="20"/>
                        <w:szCs w:val="20"/>
                      </w:rPr>
                    </w:pP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D6086" w:rsidRDefault="003D6086" w:rsidP="004E2467">
      <w:pPr>
        <w:spacing w:after="0" w:line="240" w:lineRule="auto"/>
      </w:pPr>
      <w:r>
        <w:separator/>
      </w:r>
    </w:p>
  </w:footnote>
  <w:footnote w:type="continuationSeparator" w:id="0">
    <w:p w:rsidR="003D6086" w:rsidRDefault="003D6086" w:rsidP="004E246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A4935" w:rsidRDefault="00CA4935">
    <w:pPr>
      <w:pStyle w:val="a6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A4935" w:rsidRDefault="00CA4935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1"/>
    <w:multiLevelType w:val="multilevel"/>
    <w:tmpl w:val="2002609E"/>
    <w:lvl w:ilvl="0">
      <w:start w:val="1"/>
      <w:numFmt w:val="none"/>
      <w:lvlText w:val=""/>
      <w:lvlJc w:val="left"/>
      <w:pPr>
        <w:tabs>
          <w:tab w:val="num" w:pos="432"/>
        </w:tabs>
        <w:ind w:left="0" w:firstLine="0"/>
      </w:pPr>
    </w:lvl>
    <w:lvl w:ilvl="1">
      <w:start w:val="1"/>
      <w:numFmt w:val="none"/>
      <w:pStyle w:val="2"/>
      <w:lvlText w:val=""/>
      <w:lvlJc w:val="left"/>
      <w:pPr>
        <w:tabs>
          <w:tab w:val="num" w:pos="576"/>
        </w:tabs>
        <w:ind w:left="0" w:firstLine="0"/>
      </w:pPr>
    </w:lvl>
    <w:lvl w:ilvl="2">
      <w:start w:val="1"/>
      <w:numFmt w:val="none"/>
      <w:pStyle w:val="3"/>
      <w:lvlText w:val=""/>
      <w:lvlJc w:val="left"/>
      <w:pPr>
        <w:tabs>
          <w:tab w:val="num" w:pos="720"/>
        </w:tabs>
        <w:ind w:left="0" w:firstLine="0"/>
      </w:pPr>
    </w:lvl>
    <w:lvl w:ilvl="3">
      <w:start w:val="1"/>
      <w:numFmt w:val="none"/>
      <w:lvlText w:val=""/>
      <w:lvlJc w:val="left"/>
      <w:pPr>
        <w:tabs>
          <w:tab w:val="num" w:pos="864"/>
        </w:tabs>
        <w:ind w:left="0" w:firstLine="0"/>
      </w:pPr>
    </w:lvl>
    <w:lvl w:ilvl="4">
      <w:start w:val="1"/>
      <w:numFmt w:val="none"/>
      <w:lvlText w:val=""/>
      <w:lvlJc w:val="left"/>
      <w:pPr>
        <w:tabs>
          <w:tab w:val="num" w:pos="1008"/>
        </w:tabs>
        <w:ind w:left="0" w:firstLine="0"/>
      </w:pPr>
    </w:lvl>
    <w:lvl w:ilvl="5">
      <w:start w:val="1"/>
      <w:numFmt w:val="none"/>
      <w:lvlText w:val=""/>
      <w:lvlJc w:val="left"/>
      <w:pPr>
        <w:tabs>
          <w:tab w:val="num" w:pos="1152"/>
        </w:tabs>
        <w:ind w:left="0" w:firstLine="0"/>
      </w:pPr>
    </w:lvl>
    <w:lvl w:ilvl="6">
      <w:start w:val="1"/>
      <w:numFmt w:val="none"/>
      <w:lvlText w:val=""/>
      <w:lvlJc w:val="left"/>
      <w:pPr>
        <w:tabs>
          <w:tab w:val="num" w:pos="1296"/>
        </w:tabs>
        <w:ind w:left="0" w:firstLine="0"/>
      </w:pPr>
    </w:lvl>
    <w:lvl w:ilvl="7">
      <w:start w:val="1"/>
      <w:numFmt w:val="none"/>
      <w:lvlText w:val=""/>
      <w:lvlJc w:val="left"/>
      <w:pPr>
        <w:tabs>
          <w:tab w:val="num" w:pos="1440"/>
        </w:tabs>
        <w:ind w:left="0" w:firstLine="0"/>
      </w:pPr>
    </w:lvl>
    <w:lvl w:ilvl="8">
      <w:start w:val="1"/>
      <w:numFmt w:val="none"/>
      <w:lvlText w:val=""/>
      <w:lvlJc w:val="left"/>
      <w:pPr>
        <w:tabs>
          <w:tab w:val="num" w:pos="1584"/>
        </w:tabs>
        <w:ind w:left="0" w:firstLine="0"/>
      </w:pPr>
    </w:lvl>
  </w:abstractNum>
  <w:abstractNum w:abstractNumId="1">
    <w:nsid w:val="15CC6DFB"/>
    <w:multiLevelType w:val="hybridMultilevel"/>
    <w:tmpl w:val="944236B8"/>
    <w:lvl w:ilvl="0" w:tplc="806E76DA">
      <w:start w:val="1"/>
      <w:numFmt w:val="bullet"/>
      <w:pStyle w:val="a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F4611"/>
    <w:rsid w:val="000832E2"/>
    <w:rsid w:val="00084A11"/>
    <w:rsid w:val="003D6086"/>
    <w:rsid w:val="004E2467"/>
    <w:rsid w:val="008B5E54"/>
    <w:rsid w:val="009820DB"/>
    <w:rsid w:val="00CA4935"/>
    <w:rsid w:val="00D04A0E"/>
    <w:rsid w:val="00DF4611"/>
    <w:rsid w:val="00F73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;"/>
  <w15:chartTrackingRefBased/>
  <w15:docId w15:val="{31242B2E-3408-47F4-9A3B-345A5F2136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</w:style>
  <w:style w:type="paragraph" w:styleId="1">
    <w:name w:val="heading 1"/>
    <w:aliases w:val="q1,рамка"/>
    <w:basedOn w:val="a0"/>
    <w:next w:val="a0"/>
    <w:link w:val="10"/>
    <w:autoRedefine/>
    <w:qFormat/>
    <w:rsid w:val="004E2467"/>
    <w:pPr>
      <w:keepNext/>
      <w:spacing w:before="280" w:after="28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kern w:val="32"/>
      <w:sz w:val="24"/>
      <w:szCs w:val="32"/>
      <w:lang w:eastAsia="ru-RU"/>
    </w:rPr>
  </w:style>
  <w:style w:type="paragraph" w:styleId="2">
    <w:name w:val="heading 2"/>
    <w:aliases w:val="q2"/>
    <w:basedOn w:val="a0"/>
    <w:next w:val="a0"/>
    <w:link w:val="20"/>
    <w:autoRedefine/>
    <w:qFormat/>
    <w:rsid w:val="004E2467"/>
    <w:pPr>
      <w:keepNext/>
      <w:numPr>
        <w:ilvl w:val="1"/>
        <w:numId w:val="1"/>
      </w:numPr>
      <w:tabs>
        <w:tab w:val="left" w:pos="283"/>
        <w:tab w:val="left" w:pos="1134"/>
        <w:tab w:val="left" w:pos="5244"/>
        <w:tab w:val="left" w:pos="12828"/>
      </w:tabs>
      <w:suppressAutoHyphens/>
      <w:autoSpaceDE w:val="0"/>
      <w:spacing w:after="120" w:line="240" w:lineRule="atLeast"/>
      <w:ind w:right="23"/>
      <w:jc w:val="center"/>
      <w:outlineLvl w:val="1"/>
    </w:pPr>
    <w:rPr>
      <w:rFonts w:ascii="Times New Roman" w:eastAsia="GOST Type AU" w:hAnsi="Times New Roman" w:cs="Courier New"/>
      <w:b/>
      <w:sz w:val="24"/>
      <w:szCs w:val="24"/>
      <w:lang w:eastAsia="ar-SA"/>
    </w:rPr>
  </w:style>
  <w:style w:type="paragraph" w:styleId="3">
    <w:name w:val="heading 3"/>
    <w:basedOn w:val="a0"/>
    <w:next w:val="a0"/>
    <w:link w:val="30"/>
    <w:autoRedefine/>
    <w:qFormat/>
    <w:rsid w:val="004E2467"/>
    <w:pPr>
      <w:keepNext/>
      <w:numPr>
        <w:ilvl w:val="2"/>
        <w:numId w:val="1"/>
      </w:numPr>
      <w:tabs>
        <w:tab w:val="left" w:pos="283"/>
        <w:tab w:val="left" w:pos="1134"/>
        <w:tab w:val="left" w:pos="5244"/>
        <w:tab w:val="left" w:pos="12828"/>
      </w:tabs>
      <w:suppressAutoHyphens/>
      <w:autoSpaceDE w:val="0"/>
      <w:spacing w:before="240" w:after="120" w:line="240" w:lineRule="atLeast"/>
      <w:ind w:right="23"/>
      <w:jc w:val="center"/>
      <w:outlineLvl w:val="2"/>
    </w:pPr>
    <w:rPr>
      <w:rFonts w:ascii="Times New Roman" w:eastAsia="GOST Type AU" w:hAnsi="Times New Roman" w:cs="Times New Roman"/>
      <w:b/>
      <w:sz w:val="24"/>
      <w:szCs w:val="28"/>
      <w:lang w:eastAsia="ar-SA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Default">
    <w:name w:val="Default"/>
    <w:rsid w:val="00DF461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10">
    <w:name w:val="Заголовок 1 Знак"/>
    <w:aliases w:val="q1 Знак,рамка Знак"/>
    <w:basedOn w:val="a1"/>
    <w:link w:val="1"/>
    <w:rsid w:val="004E2467"/>
    <w:rPr>
      <w:rFonts w:ascii="Times New Roman" w:eastAsia="Times New Roman" w:hAnsi="Times New Roman" w:cs="Times New Roman"/>
      <w:b/>
      <w:bCs/>
      <w:kern w:val="32"/>
      <w:sz w:val="24"/>
      <w:szCs w:val="32"/>
      <w:lang w:eastAsia="ru-RU"/>
    </w:rPr>
  </w:style>
  <w:style w:type="character" w:customStyle="1" w:styleId="20">
    <w:name w:val="Заголовок 2 Знак"/>
    <w:aliases w:val="q2 Знак"/>
    <w:basedOn w:val="a1"/>
    <w:link w:val="2"/>
    <w:rsid w:val="004E2467"/>
    <w:rPr>
      <w:rFonts w:ascii="Times New Roman" w:eastAsia="GOST Type AU" w:hAnsi="Times New Roman" w:cs="Courier New"/>
      <w:b/>
      <w:sz w:val="24"/>
      <w:szCs w:val="24"/>
      <w:lang w:eastAsia="ar-SA"/>
    </w:rPr>
  </w:style>
  <w:style w:type="character" w:customStyle="1" w:styleId="30">
    <w:name w:val="Заголовок 3 Знак"/>
    <w:basedOn w:val="a1"/>
    <w:link w:val="3"/>
    <w:rsid w:val="004E2467"/>
    <w:rPr>
      <w:rFonts w:ascii="Times New Roman" w:eastAsia="GOST Type AU" w:hAnsi="Times New Roman" w:cs="Times New Roman"/>
      <w:b/>
      <w:sz w:val="24"/>
      <w:szCs w:val="28"/>
      <w:lang w:eastAsia="ar-SA"/>
    </w:rPr>
  </w:style>
  <w:style w:type="paragraph" w:styleId="a">
    <w:name w:val="List Paragraph"/>
    <w:basedOn w:val="a0"/>
    <w:link w:val="a4"/>
    <w:autoRedefine/>
    <w:uiPriority w:val="99"/>
    <w:qFormat/>
    <w:rsid w:val="004E2467"/>
    <w:pPr>
      <w:numPr>
        <w:numId w:val="2"/>
      </w:numPr>
      <w:suppressAutoHyphens/>
      <w:spacing w:after="0" w:line="240" w:lineRule="auto"/>
      <w:jc w:val="both"/>
    </w:pPr>
    <w:rPr>
      <w:rFonts w:ascii="Times New Roman" w:eastAsia="Arial,Italic" w:hAnsi="Times New Roman" w:cs="Times New Roman"/>
      <w:sz w:val="24"/>
      <w:szCs w:val="24"/>
      <w:lang w:eastAsia="ar-SA"/>
    </w:rPr>
  </w:style>
  <w:style w:type="character" w:styleId="a5">
    <w:name w:val="page number"/>
    <w:basedOn w:val="a1"/>
    <w:rsid w:val="004E2467"/>
  </w:style>
  <w:style w:type="paragraph" w:styleId="a6">
    <w:name w:val="header"/>
    <w:basedOn w:val="a0"/>
    <w:link w:val="a7"/>
    <w:uiPriority w:val="99"/>
    <w:rsid w:val="004E2467"/>
    <w:pPr>
      <w:tabs>
        <w:tab w:val="center" w:pos="4153"/>
        <w:tab w:val="right" w:pos="8306"/>
      </w:tabs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0"/>
      <w:lang w:val="x-none" w:eastAsia="x-none"/>
    </w:rPr>
  </w:style>
  <w:style w:type="character" w:customStyle="1" w:styleId="a7">
    <w:name w:val="Верхний колонтитул Знак"/>
    <w:basedOn w:val="a1"/>
    <w:link w:val="a6"/>
    <w:uiPriority w:val="99"/>
    <w:rsid w:val="004E2467"/>
    <w:rPr>
      <w:rFonts w:ascii="Times New Roman" w:eastAsia="Times New Roman" w:hAnsi="Times New Roman" w:cs="Times New Roman"/>
      <w:sz w:val="28"/>
      <w:szCs w:val="20"/>
      <w:lang w:val="x-none" w:eastAsia="x-none"/>
    </w:rPr>
  </w:style>
  <w:style w:type="paragraph" w:styleId="a8">
    <w:name w:val="footer"/>
    <w:basedOn w:val="a0"/>
    <w:link w:val="a9"/>
    <w:uiPriority w:val="99"/>
    <w:rsid w:val="004E2467"/>
    <w:pPr>
      <w:tabs>
        <w:tab w:val="center" w:pos="4153"/>
        <w:tab w:val="right" w:pos="8306"/>
      </w:tabs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9">
    <w:name w:val="Нижний колонтитул Знак"/>
    <w:basedOn w:val="a1"/>
    <w:link w:val="a8"/>
    <w:uiPriority w:val="99"/>
    <w:rsid w:val="004E2467"/>
    <w:rPr>
      <w:rFonts w:ascii="Times New Roman" w:eastAsia="Times New Roman" w:hAnsi="Times New Roman" w:cs="Times New Roman"/>
      <w:sz w:val="28"/>
      <w:szCs w:val="20"/>
      <w:lang w:eastAsia="ru-RU"/>
    </w:rPr>
  </w:style>
  <w:style w:type="table" w:styleId="aa">
    <w:name w:val="Table Grid"/>
    <w:basedOn w:val="a2"/>
    <w:uiPriority w:val="59"/>
    <w:rsid w:val="004E246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TOC Heading"/>
    <w:basedOn w:val="1"/>
    <w:next w:val="a0"/>
    <w:uiPriority w:val="39"/>
    <w:unhideWhenUsed/>
    <w:qFormat/>
    <w:rsid w:val="004E2467"/>
    <w:pPr>
      <w:keepLines/>
      <w:spacing w:before="0" w:after="0"/>
      <w:outlineLvl w:val="9"/>
    </w:pPr>
    <w:rPr>
      <w:bCs w:val="0"/>
      <w:kern w:val="0"/>
    </w:rPr>
  </w:style>
  <w:style w:type="paragraph" w:customStyle="1" w:styleId="ac">
    <w:name w:val="ГП_Обычный"/>
    <w:link w:val="ad"/>
    <w:qFormat/>
    <w:rsid w:val="004E2467"/>
    <w:pPr>
      <w:spacing w:after="0" w:line="240" w:lineRule="auto"/>
      <w:ind w:firstLine="709"/>
      <w:contextualSpacing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d">
    <w:name w:val="ГП_Обычный Знак"/>
    <w:link w:val="ac"/>
    <w:rsid w:val="004E2467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blk">
    <w:name w:val="blk"/>
    <w:basedOn w:val="a1"/>
    <w:rsid w:val="004E2467"/>
  </w:style>
  <w:style w:type="character" w:customStyle="1" w:styleId="a4">
    <w:name w:val="Абзац списка Знак"/>
    <w:link w:val="a"/>
    <w:uiPriority w:val="99"/>
    <w:locked/>
    <w:rsid w:val="004E2467"/>
    <w:rPr>
      <w:rFonts w:ascii="Times New Roman" w:eastAsia="Arial,Italic" w:hAnsi="Times New Roman" w:cs="Times New Roman"/>
      <w:sz w:val="24"/>
      <w:szCs w:val="24"/>
      <w:lang w:eastAsia="ar-SA"/>
    </w:rPr>
  </w:style>
  <w:style w:type="paragraph" w:customStyle="1" w:styleId="TableParagraph">
    <w:name w:val="Table Paragraph"/>
    <w:basedOn w:val="a0"/>
    <w:uiPriority w:val="1"/>
    <w:qFormat/>
    <w:rsid w:val="004E2467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84</TotalTime>
  <Pages>16</Pages>
  <Words>5969</Words>
  <Characters>34024</Characters>
  <Application>Microsoft Office Word</Application>
  <DocSecurity>0</DocSecurity>
  <Lines>283</Lines>
  <Paragraphs>79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39914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Jeka</dc:creator>
  <cp:keywords/>
  <dc:description/>
  <cp:lastModifiedBy>Светлана Неустроева</cp:lastModifiedBy>
  <cp:revision>4</cp:revision>
  <dcterms:created xsi:type="dcterms:W3CDTF">2021-03-25T17:56:00Z</dcterms:created>
  <dcterms:modified xsi:type="dcterms:W3CDTF">2021-04-21T05:10:00Z</dcterms:modified>
</cp:coreProperties>
</file>